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3ED" w:rsidRDefault="00FB63ED">
      <w:pPr>
        <w:pStyle w:val="ConsPlusNormal"/>
        <w:jc w:val="both"/>
        <w:outlineLvl w:val="0"/>
      </w:pPr>
      <w:bookmarkStart w:id="0" w:name="_GoBack"/>
      <w:bookmarkEnd w:id="0"/>
      <w:r>
        <w:t>Зарегистрировано в Национальном реестре правовых актов</w:t>
      </w:r>
    </w:p>
    <w:p w:rsidR="00FB63ED" w:rsidRDefault="00FB63ED">
      <w:pPr>
        <w:pStyle w:val="ConsPlusNormal"/>
        <w:spacing w:before="220"/>
        <w:jc w:val="both"/>
      </w:pPr>
      <w:r>
        <w:t>Республики Беларусь 4 октября 1999 г. N 1/682</w:t>
      </w:r>
    </w:p>
    <w:p w:rsidR="00FB63ED" w:rsidRDefault="00FB63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63ED" w:rsidRDefault="00FB63ED">
      <w:pPr>
        <w:pStyle w:val="ConsPlusNormal"/>
      </w:pPr>
    </w:p>
    <w:p w:rsidR="00FB63ED" w:rsidRDefault="00FB63ED">
      <w:pPr>
        <w:pStyle w:val="ConsPlusTitle"/>
        <w:jc w:val="center"/>
      </w:pPr>
      <w:r>
        <w:t>УКАЗ ПРЕЗИДЕНТА РЕСПУБЛИКИ БЕЛАРУСЬ</w:t>
      </w:r>
    </w:p>
    <w:p w:rsidR="00FB63ED" w:rsidRDefault="00FB63ED">
      <w:pPr>
        <w:pStyle w:val="ConsPlusTitle"/>
        <w:jc w:val="center"/>
      </w:pPr>
      <w:r>
        <w:t>30 сентября 1999 г. N 573</w:t>
      </w:r>
    </w:p>
    <w:p w:rsidR="00FB63ED" w:rsidRDefault="00FB63ED">
      <w:pPr>
        <w:pStyle w:val="ConsPlusTitle"/>
        <w:jc w:val="center"/>
      </w:pPr>
    </w:p>
    <w:p w:rsidR="00FB63ED" w:rsidRDefault="00FB63ED">
      <w:pPr>
        <w:pStyle w:val="ConsPlusTitle"/>
        <w:jc w:val="center"/>
      </w:pPr>
      <w:r>
        <w:t>О РЕСПУБЛИКАНСКОЙ ДОСКЕ ПОЧЕТА</w:t>
      </w:r>
    </w:p>
    <w:p w:rsidR="00FB63ED" w:rsidRDefault="00FB63E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B63E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B63ED" w:rsidRDefault="00FB63E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Республики Беларусь от 14.09.2004 </w:t>
            </w:r>
            <w:hyperlink r:id="rId5" w:history="1">
              <w:r>
                <w:rPr>
                  <w:color w:val="0000FF"/>
                </w:rPr>
                <w:t>N 449</w:t>
              </w:r>
            </w:hyperlink>
            <w:r>
              <w:rPr>
                <w:color w:val="392C69"/>
              </w:rPr>
              <w:t>,</w:t>
            </w:r>
          </w:p>
          <w:p w:rsidR="00FB63ED" w:rsidRDefault="00FB63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16.08.2005 </w:t>
            </w:r>
            <w:hyperlink r:id="rId6" w:history="1">
              <w:r>
                <w:rPr>
                  <w:color w:val="0000FF"/>
                </w:rPr>
                <w:t>N 378</w:t>
              </w:r>
            </w:hyperlink>
            <w:r>
              <w:rPr>
                <w:color w:val="392C69"/>
              </w:rPr>
              <w:t xml:space="preserve">, от 28.04.2006 </w:t>
            </w:r>
            <w:hyperlink r:id="rId7" w:history="1">
              <w:r>
                <w:rPr>
                  <w:color w:val="0000FF"/>
                </w:rPr>
                <w:t>N 280</w:t>
              </w:r>
            </w:hyperlink>
            <w:r>
              <w:rPr>
                <w:color w:val="392C69"/>
              </w:rPr>
              <w:t xml:space="preserve">, от 26.08.2008 </w:t>
            </w:r>
            <w:hyperlink r:id="rId8" w:history="1">
              <w:r>
                <w:rPr>
                  <w:color w:val="0000FF"/>
                </w:rPr>
                <w:t>N 445</w:t>
              </w:r>
            </w:hyperlink>
            <w:r>
              <w:rPr>
                <w:color w:val="392C69"/>
              </w:rPr>
              <w:t>,</w:t>
            </w:r>
          </w:p>
          <w:p w:rsidR="00FB63ED" w:rsidRDefault="00FB63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25.09.2008 </w:t>
            </w:r>
            <w:hyperlink r:id="rId9" w:history="1">
              <w:r>
                <w:rPr>
                  <w:color w:val="0000FF"/>
                </w:rPr>
                <w:t>N 529</w:t>
              </w:r>
            </w:hyperlink>
            <w:r>
              <w:rPr>
                <w:color w:val="392C69"/>
              </w:rPr>
              <w:t xml:space="preserve">, от 19.04.2012 </w:t>
            </w:r>
            <w:hyperlink r:id="rId10" w:history="1">
              <w:r>
                <w:rPr>
                  <w:color w:val="0000FF"/>
                </w:rPr>
                <w:t>N 193</w:t>
              </w:r>
            </w:hyperlink>
            <w:r>
              <w:rPr>
                <w:color w:val="392C69"/>
              </w:rPr>
              <w:t xml:space="preserve">, от 13.11.2014 </w:t>
            </w:r>
            <w:hyperlink r:id="rId11" w:history="1">
              <w:r>
                <w:rPr>
                  <w:color w:val="0000FF"/>
                </w:rPr>
                <w:t>N 526</w:t>
              </w:r>
            </w:hyperlink>
            <w:r>
              <w:rPr>
                <w:color w:val="392C69"/>
              </w:rPr>
              <w:t>,</w:t>
            </w:r>
          </w:p>
          <w:p w:rsidR="00FB63ED" w:rsidRDefault="00FB63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03.06.2016 </w:t>
            </w:r>
            <w:hyperlink r:id="rId12" w:history="1">
              <w:r>
                <w:rPr>
                  <w:color w:val="0000FF"/>
                </w:rPr>
                <w:t>N 188</w:t>
              </w:r>
            </w:hyperlink>
            <w:r>
              <w:rPr>
                <w:color w:val="392C69"/>
              </w:rPr>
              <w:t xml:space="preserve">, от 01.12.2016 </w:t>
            </w:r>
            <w:hyperlink r:id="rId13" w:history="1">
              <w:r>
                <w:rPr>
                  <w:color w:val="0000FF"/>
                </w:rPr>
                <w:t>N 435</w:t>
              </w:r>
            </w:hyperlink>
            <w:r>
              <w:rPr>
                <w:color w:val="392C69"/>
              </w:rPr>
              <w:t xml:space="preserve">, от 14.03.2017 </w:t>
            </w:r>
            <w:hyperlink r:id="rId14" w:history="1">
              <w:r>
                <w:rPr>
                  <w:color w:val="0000FF"/>
                </w:rPr>
                <w:t>N 87</w:t>
              </w:r>
            </w:hyperlink>
            <w:r>
              <w:rPr>
                <w:color w:val="392C69"/>
              </w:rPr>
              <w:t>,</w:t>
            </w:r>
          </w:p>
          <w:p w:rsidR="00FB63ED" w:rsidRDefault="00FB63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12.02.2019 </w:t>
            </w:r>
            <w:hyperlink r:id="rId15" w:history="1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B63ED" w:rsidRDefault="00FB63ED">
      <w:pPr>
        <w:pStyle w:val="ConsPlusNormal"/>
      </w:pPr>
    </w:p>
    <w:p w:rsidR="00FB63ED" w:rsidRDefault="00FB63ED">
      <w:pPr>
        <w:pStyle w:val="ConsPlusNormal"/>
        <w:ind w:firstLine="540"/>
        <w:jc w:val="both"/>
      </w:pPr>
      <w:r>
        <w:t>В целях поощрения областей, районов, городов, районов в городах, трудовых коллективов за достижение высоких результатов в сфере социально-экономического развития, в том числе повышение эффективности производства, увеличение выпуска конкурентоспособной продукции, экономию ресурсов, рациональную организацию и стимулирование труда, ПОСТАНОВЛЯЮ:</w:t>
      </w:r>
    </w:p>
    <w:p w:rsidR="00FB63ED" w:rsidRDefault="00FB63ED">
      <w:pPr>
        <w:pStyle w:val="ConsPlusNormal"/>
        <w:jc w:val="both"/>
      </w:pPr>
      <w:r>
        <w:t xml:space="preserve">(преамбула в ред. </w:t>
      </w:r>
      <w:hyperlink r:id="rId16" w:history="1">
        <w:r>
          <w:rPr>
            <w:color w:val="0000FF"/>
          </w:rPr>
          <w:t>Указа</w:t>
        </w:r>
      </w:hyperlink>
      <w:r>
        <w:t xml:space="preserve"> Президента Республики Беларусь от 12.02.2019 N 47)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1. Учредить Республиканскую доску Почета.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40" w:history="1">
        <w:r>
          <w:rPr>
            <w:color w:val="0000FF"/>
          </w:rPr>
          <w:t>Положение</w:t>
        </w:r>
      </w:hyperlink>
      <w:r>
        <w:t xml:space="preserve"> о Республиканской доске Почета.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3. Государственному учреждению "Главное хозяйственное управление" Управления делами Президента Республики Беларусь принять в оперативное управление комплекс "Республиканская доска Почета", расположенный на площади Государственного флага в г. Минске, и осуществлять его содержание.</w:t>
      </w:r>
    </w:p>
    <w:p w:rsidR="00FB63ED" w:rsidRDefault="00FB63ED">
      <w:pPr>
        <w:pStyle w:val="ConsPlusNormal"/>
        <w:jc w:val="both"/>
      </w:pPr>
      <w:r>
        <w:t xml:space="preserve">(п. 3 в ред. </w:t>
      </w:r>
      <w:hyperlink r:id="rId17" w:history="1">
        <w:r>
          <w:rPr>
            <w:color w:val="0000FF"/>
          </w:rPr>
          <w:t>Указа</w:t>
        </w:r>
      </w:hyperlink>
      <w:r>
        <w:t xml:space="preserve"> Президента Республики Беларусь от 01.12.2016 N 435)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4. Финансирование расходов на выплату единовременных премий (денежных вознаграждений) победителям соревнования среди областей и г. Минска, районов, городов, районов в городах, организаций, занесенным на Республиканскую доску Почета по итогам работы за отчетный год и отчетный пятилетний период (включая руководителей и работников местных исполнительных и распорядительных органов), в размерах, определяемых Советом Министров Республики Беларусь, осуществляется в пределах средств, предусмотренных в республиканском бюджете на эти цели.</w:t>
      </w:r>
    </w:p>
    <w:p w:rsidR="00FB63ED" w:rsidRDefault="00FB63ED">
      <w:pPr>
        <w:pStyle w:val="ConsPlusNormal"/>
        <w:jc w:val="both"/>
      </w:pPr>
      <w:r>
        <w:t xml:space="preserve">(п. 4 в ред. </w:t>
      </w:r>
      <w:hyperlink r:id="rId18" w:history="1">
        <w:r>
          <w:rPr>
            <w:color w:val="0000FF"/>
          </w:rPr>
          <w:t>Указа</w:t>
        </w:r>
      </w:hyperlink>
      <w:r>
        <w:t xml:space="preserve"> Президента Республики Беларусь от 01.12.2016 N 435)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5. Произвести официальное открытие Республиканской доски Почета в апреле 2000 г. в канун Праздника труда.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6. Настоящий Указ вступает в силу со дня его подписания.</w:t>
      </w:r>
    </w:p>
    <w:p w:rsidR="00FB63ED" w:rsidRDefault="00FB63ED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FB63E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B63ED" w:rsidRDefault="00FB63ED">
            <w:pPr>
              <w:pStyle w:val="ConsPlusNormal"/>
            </w:pPr>
            <w:r>
              <w:t>Президент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B63ED" w:rsidRDefault="00FB63ED">
            <w:pPr>
              <w:pStyle w:val="ConsPlusNormal"/>
              <w:jc w:val="right"/>
            </w:pPr>
            <w:proofErr w:type="spellStart"/>
            <w:r>
              <w:t>А.Лукашенко</w:t>
            </w:r>
            <w:proofErr w:type="spellEnd"/>
          </w:p>
        </w:tc>
      </w:tr>
    </w:tbl>
    <w:p w:rsidR="00FB63ED" w:rsidRDefault="00FB63ED">
      <w:pPr>
        <w:pStyle w:val="ConsPlusNormal"/>
      </w:pPr>
    </w:p>
    <w:p w:rsidR="00FB63ED" w:rsidRDefault="00FB63ED">
      <w:pPr>
        <w:pStyle w:val="ConsPlusNormal"/>
      </w:pPr>
    </w:p>
    <w:p w:rsidR="00FB63ED" w:rsidRDefault="00FB63ED">
      <w:pPr>
        <w:pStyle w:val="ConsPlusNormal"/>
      </w:pPr>
    </w:p>
    <w:p w:rsidR="00FB63ED" w:rsidRDefault="00FB63ED">
      <w:pPr>
        <w:pStyle w:val="ConsPlusNormal"/>
      </w:pPr>
    </w:p>
    <w:p w:rsidR="00FB63ED" w:rsidRDefault="00FB63ED">
      <w:pPr>
        <w:pStyle w:val="ConsPlusNormal"/>
      </w:pPr>
    </w:p>
    <w:p w:rsidR="00FB63ED" w:rsidRDefault="00FB63ED">
      <w:pPr>
        <w:pStyle w:val="ConsPlusNormal"/>
      </w:pPr>
    </w:p>
    <w:p w:rsidR="00FB63ED" w:rsidRDefault="00FB63ED">
      <w:pPr>
        <w:pStyle w:val="ConsPlusNormal"/>
      </w:pPr>
    </w:p>
    <w:p w:rsidR="00FB63ED" w:rsidRDefault="00FB63ED">
      <w:pPr>
        <w:pStyle w:val="ConsPlusNonformat"/>
        <w:jc w:val="both"/>
      </w:pPr>
      <w:r>
        <w:lastRenderedPageBreak/>
        <w:t xml:space="preserve">                                               УТВЕРЖДЕНО</w:t>
      </w:r>
    </w:p>
    <w:p w:rsidR="00FB63ED" w:rsidRDefault="00FB63ED">
      <w:pPr>
        <w:pStyle w:val="ConsPlusNonformat"/>
        <w:jc w:val="both"/>
      </w:pPr>
      <w:r>
        <w:t xml:space="preserve">                                               Указ Президента</w:t>
      </w:r>
    </w:p>
    <w:p w:rsidR="00FB63ED" w:rsidRDefault="00FB63ED">
      <w:pPr>
        <w:pStyle w:val="ConsPlusNonformat"/>
        <w:jc w:val="both"/>
      </w:pPr>
      <w:r>
        <w:t xml:space="preserve">                                               Республики Беларусь</w:t>
      </w:r>
    </w:p>
    <w:p w:rsidR="00FB63ED" w:rsidRDefault="00FB63ED">
      <w:pPr>
        <w:pStyle w:val="ConsPlusNonformat"/>
        <w:jc w:val="both"/>
      </w:pPr>
      <w:r>
        <w:t xml:space="preserve">                                               30.09.1999 N 573</w:t>
      </w:r>
    </w:p>
    <w:p w:rsidR="00FB63ED" w:rsidRDefault="00FB63ED">
      <w:pPr>
        <w:pStyle w:val="ConsPlusNonformat"/>
        <w:jc w:val="both"/>
      </w:pPr>
      <w:r>
        <w:t xml:space="preserve">                                               (в редакции Указа Президента</w:t>
      </w:r>
    </w:p>
    <w:p w:rsidR="00FB63ED" w:rsidRDefault="00FB63ED">
      <w:pPr>
        <w:pStyle w:val="ConsPlusNonformat"/>
        <w:jc w:val="both"/>
      </w:pPr>
      <w:r>
        <w:t xml:space="preserve">                                               Республики Беларусь</w:t>
      </w:r>
    </w:p>
    <w:p w:rsidR="00FB63ED" w:rsidRDefault="00FB63ED">
      <w:pPr>
        <w:pStyle w:val="ConsPlusNonformat"/>
        <w:jc w:val="both"/>
      </w:pPr>
      <w:r>
        <w:t xml:space="preserve">                                               12.02.2019 N 47)</w:t>
      </w:r>
    </w:p>
    <w:p w:rsidR="00FB63ED" w:rsidRDefault="00FB63ED">
      <w:pPr>
        <w:pStyle w:val="ConsPlusNormal"/>
      </w:pPr>
    </w:p>
    <w:p w:rsidR="00FB63ED" w:rsidRDefault="00FB63ED">
      <w:pPr>
        <w:pStyle w:val="ConsPlusTitle"/>
        <w:jc w:val="center"/>
      </w:pPr>
      <w:bookmarkStart w:id="1" w:name="P40"/>
      <w:bookmarkEnd w:id="1"/>
      <w:r>
        <w:t>ПОЛОЖЕНИЕ</w:t>
      </w:r>
    </w:p>
    <w:p w:rsidR="00FB63ED" w:rsidRDefault="00FB63ED">
      <w:pPr>
        <w:pStyle w:val="ConsPlusTitle"/>
        <w:jc w:val="center"/>
      </w:pPr>
      <w:r>
        <w:t>О РЕСПУБЛИКАНСКОЙ ДОСКЕ ПОЧЕТА</w:t>
      </w:r>
    </w:p>
    <w:p w:rsidR="00FB63ED" w:rsidRDefault="00FB63ED">
      <w:pPr>
        <w:pStyle w:val="ConsPlusNormal"/>
        <w:jc w:val="center"/>
      </w:pPr>
      <w:r>
        <w:t xml:space="preserve">(в ред. </w:t>
      </w:r>
      <w:hyperlink r:id="rId19" w:history="1">
        <w:r>
          <w:rPr>
            <w:color w:val="0000FF"/>
          </w:rPr>
          <w:t>Указа</w:t>
        </w:r>
      </w:hyperlink>
      <w:r>
        <w:t xml:space="preserve"> Президента Республики Беларусь от 12.02.2019 N 47)</w:t>
      </w:r>
    </w:p>
    <w:p w:rsidR="00FB63ED" w:rsidRDefault="00FB63ED">
      <w:pPr>
        <w:pStyle w:val="ConsPlusNormal"/>
      </w:pPr>
    </w:p>
    <w:p w:rsidR="00FB63ED" w:rsidRDefault="00FB63ED">
      <w:pPr>
        <w:pStyle w:val="ConsPlusNormal"/>
        <w:ind w:firstLine="540"/>
        <w:jc w:val="both"/>
      </w:pPr>
      <w:r>
        <w:t xml:space="preserve">1. Настоящим Положением определяются условия и порядок занесения на Республиканскую доску Почета административно-территориальных единиц (областей, г. Минска, районов, городов </w:t>
      </w:r>
      <w:hyperlink w:anchor="P46" w:history="1">
        <w:r>
          <w:rPr>
            <w:color w:val="0000FF"/>
          </w:rPr>
          <w:t>&lt;*&gt;</w:t>
        </w:r>
      </w:hyperlink>
      <w:r>
        <w:t xml:space="preserve"> и районов в городах), организаций и филиалов </w:t>
      </w:r>
      <w:hyperlink w:anchor="P47" w:history="1">
        <w:r>
          <w:rPr>
            <w:color w:val="0000FF"/>
          </w:rPr>
          <w:t>&lt;**&gt;</w:t>
        </w:r>
      </w:hyperlink>
      <w:r>
        <w:t xml:space="preserve"> за достижение высоких результатов в сфере социально-экономического развития.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2" w:name="P46"/>
      <w:bookmarkEnd w:id="2"/>
      <w:r>
        <w:t>&lt;*&gt; Для целей настоящего Положения под городами понимаются города областного подчинения.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3" w:name="P47"/>
      <w:bookmarkEnd w:id="3"/>
      <w:r>
        <w:t>&lt;**&gt; Для целей настоящего Положения под филиалами понимаются филиалы организаций, осуществляющих почтовую деятельность и деятельность в области телекоммуникаций.</w:t>
      </w:r>
    </w:p>
    <w:p w:rsidR="00FB63ED" w:rsidRDefault="00FB63ED">
      <w:pPr>
        <w:pStyle w:val="ConsPlusNormal"/>
      </w:pPr>
    </w:p>
    <w:p w:rsidR="00FB63ED" w:rsidRDefault="00FB63ED">
      <w:pPr>
        <w:pStyle w:val="ConsPlusNormal"/>
        <w:ind w:firstLine="540"/>
        <w:jc w:val="both"/>
      </w:pPr>
      <w:r>
        <w:t>2. Занесение на Республиканскую доску Почета является общественным признанием и поощрением административно-территориальных единиц, организаций и филиалов, признанных победителями по итогам работы за отчетный год, областей и г. Минска - по итогам работы за отчетный пятилетний период.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4" w:name="P50"/>
      <w:bookmarkEnd w:id="4"/>
      <w:r>
        <w:t>3. Количество мест на Республиканской доске Почета - 68, в том числе: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по итогам работы за отчетный пятилетний период для областей и г. Минска - 3;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по итогам работы за отчетный год для: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областей и г. Минска - 3, районов - 5, городов и районов в городах - 3;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5" w:name="P54"/>
      <w:bookmarkEnd w:id="5"/>
      <w:r>
        <w:t>организаций промышленности - 9;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организаций, осуществляющих деятельность в строительстве, - 3;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организаций сельского и рыбного хозяйства - 9;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6" w:name="P57"/>
      <w:bookmarkEnd w:id="6"/>
      <w:r>
        <w:t>организаций лесного хозяйства - 2;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организаций сферы услуг - 31, в том числе организаций: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7" w:name="P59"/>
      <w:bookmarkEnd w:id="7"/>
      <w:r>
        <w:t>торговли - 4;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предоставляющих услуги общественного питания, - 2;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8" w:name="P61"/>
      <w:bookmarkEnd w:id="8"/>
      <w:r>
        <w:t>предоставляющих прочие индивидуальные услуги, - 2;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9" w:name="P62"/>
      <w:bookmarkEnd w:id="9"/>
      <w:r>
        <w:t>осуществляющих почтовую деятельность и деятельность в области телекоммуникаций, и филиалов - 2;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10" w:name="P63"/>
      <w:bookmarkEnd w:id="10"/>
      <w:r>
        <w:t>осуществляющих издательскую деятельность, - 1;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lastRenderedPageBreak/>
        <w:t>осуществляющих транспортную деятельность, - 3;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образования - 4;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культуры - 2;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здравоохранения - 3;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социального обслуживания - 2;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физической культуры и спорта - 1;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11" w:name="P70"/>
      <w:bookmarkEnd w:id="11"/>
      <w:r>
        <w:t>осуществляющих туристическую деятельность, - 1;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12" w:name="P71"/>
      <w:bookmarkEnd w:id="12"/>
      <w:r>
        <w:t>научных организаций - 4.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13" w:name="P72"/>
      <w:bookmarkEnd w:id="13"/>
      <w:r>
        <w:t xml:space="preserve">4. Определение административно-территориальных единиц, организаций и филиалов для занесения на Республиканскую доску Почета осуществляется по результатам проведения конкурсного отбора по номинациям, указанным в </w:t>
      </w:r>
      <w:hyperlink w:anchor="P50" w:history="1">
        <w:r>
          <w:rPr>
            <w:color w:val="0000FF"/>
          </w:rPr>
          <w:t>пункте 3</w:t>
        </w:r>
      </w:hyperlink>
      <w:r>
        <w:t xml:space="preserve"> настоящего Положения.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 xml:space="preserve">Конкурсный отбор, указанный в </w:t>
      </w:r>
      <w:hyperlink w:anchor="P72" w:history="1">
        <w:r>
          <w:rPr>
            <w:color w:val="0000FF"/>
          </w:rPr>
          <w:t>части первой</w:t>
        </w:r>
      </w:hyperlink>
      <w:r>
        <w:t xml:space="preserve"> настоящего пункта (далее - конкурсный отбор), по соответствующей номинации не проводится, если количество участников, отвечающих требованиям настоящего Положения, не превышает: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 xml:space="preserve">количества лучших кандидатур </w:t>
      </w:r>
      <w:hyperlink w:anchor="P78" w:history="1">
        <w:r>
          <w:rPr>
            <w:color w:val="0000FF"/>
          </w:rPr>
          <w:t>&lt;*&gt;</w:t>
        </w:r>
      </w:hyperlink>
      <w:r>
        <w:t xml:space="preserve">, устанавливаемого указанными в </w:t>
      </w:r>
      <w:hyperlink w:anchor="P96" w:history="1">
        <w:r>
          <w:rPr>
            <w:color w:val="0000FF"/>
          </w:rPr>
          <w:t>абзацах втором</w:t>
        </w:r>
      </w:hyperlink>
      <w:r>
        <w:t xml:space="preserve"> - </w:t>
      </w:r>
      <w:hyperlink w:anchor="P101" w:history="1">
        <w:r>
          <w:rPr>
            <w:color w:val="0000FF"/>
          </w:rPr>
          <w:t>седьмом</w:t>
        </w:r>
      </w:hyperlink>
      <w:r>
        <w:t xml:space="preserve">, </w:t>
      </w:r>
      <w:hyperlink w:anchor="P103" w:history="1">
        <w:r>
          <w:rPr>
            <w:color w:val="0000FF"/>
          </w:rPr>
          <w:t>девятом</w:t>
        </w:r>
      </w:hyperlink>
      <w:r>
        <w:t xml:space="preserve"> - </w:t>
      </w:r>
      <w:hyperlink w:anchor="P109" w:history="1">
        <w:r>
          <w:rPr>
            <w:color w:val="0000FF"/>
          </w:rPr>
          <w:t>пятнадцатом пункта 8</w:t>
        </w:r>
      </w:hyperlink>
      <w:r>
        <w:t xml:space="preserve"> настоящего Положения республиканскими органами государственного управления, иными государственными организациями, подчиненными Правительству Республики Беларусь, а также иными государственными организациями, подчиненными Президенту Республики Беларусь, в инструкциях о порядке отбора претендентов на занесение на Республиканскую доску Почета (далее - инструкции);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 xml:space="preserve">количества мест на Республиканской доске Почета, определенного в </w:t>
      </w:r>
      <w:hyperlink w:anchor="P62" w:history="1">
        <w:r>
          <w:rPr>
            <w:color w:val="0000FF"/>
          </w:rPr>
          <w:t>абзацах тринадцатом</w:t>
        </w:r>
      </w:hyperlink>
      <w:r>
        <w:t xml:space="preserve"> и </w:t>
      </w:r>
      <w:hyperlink w:anchor="P71" w:history="1">
        <w:r>
          <w:rPr>
            <w:color w:val="0000FF"/>
          </w:rPr>
          <w:t>двадцать втором пункта 3</w:t>
        </w:r>
      </w:hyperlink>
      <w:r>
        <w:t xml:space="preserve"> настоящего Положения.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При отсутствии достаточного количества административно-территориальных единиц, организаций и филиалов для занесения на Республиканскую доску Почета по отдельным номинациям количество мест по другим номинациям может быть соответственно увеличено.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14" w:name="P78"/>
      <w:bookmarkEnd w:id="14"/>
      <w:r>
        <w:t>&lt;*&gt; Для целей настоящего Положения под лучшими кандидатурами понимаются определяемые облисполкомами и Минским горисполкомом претенденты на занесение на Республиканскую доску Почета из числа районов, городов и районов в городах, организаций, за исключением организаций, осуществляющих почтовую деятельность и деятельность в области телекоммуникаций, и филиалов, научных организаций.</w:t>
      </w:r>
    </w:p>
    <w:p w:rsidR="00FB63ED" w:rsidRDefault="00FB63ED">
      <w:pPr>
        <w:pStyle w:val="ConsPlusNormal"/>
      </w:pPr>
    </w:p>
    <w:p w:rsidR="00FB63ED" w:rsidRDefault="00FB63ED">
      <w:pPr>
        <w:pStyle w:val="ConsPlusNormal"/>
        <w:ind w:firstLine="540"/>
        <w:jc w:val="both"/>
      </w:pPr>
      <w:bookmarkStart w:id="15" w:name="P80"/>
      <w:bookmarkEnd w:id="15"/>
      <w:r>
        <w:t>5. Участниками конкурсного отбора могут быть: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 xml:space="preserve">зарегистрированные на территории Республики Беларусь организации - по номинациям, указанным в </w:t>
      </w:r>
      <w:hyperlink w:anchor="P54" w:history="1">
        <w:r>
          <w:rPr>
            <w:color w:val="0000FF"/>
          </w:rPr>
          <w:t>абзацах пятом</w:t>
        </w:r>
      </w:hyperlink>
      <w:r>
        <w:t xml:space="preserve"> - </w:t>
      </w:r>
      <w:hyperlink w:anchor="P57" w:history="1">
        <w:r>
          <w:rPr>
            <w:color w:val="0000FF"/>
          </w:rPr>
          <w:t>восьмом</w:t>
        </w:r>
      </w:hyperlink>
      <w:r>
        <w:t xml:space="preserve">, </w:t>
      </w:r>
      <w:hyperlink w:anchor="P59" w:history="1">
        <w:r>
          <w:rPr>
            <w:color w:val="0000FF"/>
          </w:rPr>
          <w:t>десятом</w:t>
        </w:r>
      </w:hyperlink>
      <w:r>
        <w:t xml:space="preserve"> - </w:t>
      </w:r>
      <w:hyperlink w:anchor="P61" w:history="1">
        <w:r>
          <w:rPr>
            <w:color w:val="0000FF"/>
          </w:rPr>
          <w:t>двенадцатом</w:t>
        </w:r>
      </w:hyperlink>
      <w:r>
        <w:t xml:space="preserve">, </w:t>
      </w:r>
      <w:hyperlink w:anchor="P63" w:history="1">
        <w:r>
          <w:rPr>
            <w:color w:val="0000FF"/>
          </w:rPr>
          <w:t>четырнадцатом</w:t>
        </w:r>
      </w:hyperlink>
      <w:r>
        <w:t xml:space="preserve"> - </w:t>
      </w:r>
      <w:hyperlink w:anchor="P71" w:history="1">
        <w:r>
          <w:rPr>
            <w:color w:val="0000FF"/>
          </w:rPr>
          <w:t>двадцать втором пункта 3</w:t>
        </w:r>
      </w:hyperlink>
      <w:r>
        <w:t xml:space="preserve"> настоящего Положения;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 xml:space="preserve">зарегистрированные на территории Республики Беларусь организации, осуществляющие соответствующий вид деятельности, и филиалы - по номинации, указанной в </w:t>
      </w:r>
      <w:hyperlink w:anchor="P62" w:history="1">
        <w:r>
          <w:rPr>
            <w:color w:val="0000FF"/>
          </w:rPr>
          <w:t>абзаце тринадцатом пункта 3</w:t>
        </w:r>
      </w:hyperlink>
      <w:r>
        <w:t xml:space="preserve"> настоящего Положения.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Не вправе участвовать в конкурсном отборе организации: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lastRenderedPageBreak/>
        <w:t>которые находятся в процессе реорганизации либо в отношении которых возбуждено производство по делу об экономической несостоятельности (банкротстве);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со дня государственной регистрации которых прошло менее пяти календарных лет до 31 декабря отчетного года (в отношении филиалов - с момента начала осуществления деятельности).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Организации и филиалы, занесенные на Республиканскую доску Почета в течение двух лет подряд, не могут выступать в качестве участников конкурсного отбора, проводимого в году, следующем за таким периодом.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 xml:space="preserve">6. Для участия в конкурсном отборе организации и филиалы, отвечающие требованиям и условиям, предусмотренным в </w:t>
      </w:r>
      <w:hyperlink w:anchor="P80" w:history="1">
        <w:r>
          <w:rPr>
            <w:color w:val="0000FF"/>
          </w:rPr>
          <w:t>пункте 5</w:t>
        </w:r>
      </w:hyperlink>
      <w:r>
        <w:t xml:space="preserve"> и </w:t>
      </w:r>
      <w:hyperlink w:anchor="P120" w:history="1">
        <w:r>
          <w:rPr>
            <w:color w:val="0000FF"/>
          </w:rPr>
          <w:t>подпунктах 12.2</w:t>
        </w:r>
      </w:hyperlink>
      <w:r>
        <w:t xml:space="preserve"> - </w:t>
      </w:r>
      <w:hyperlink w:anchor="P129" w:history="1">
        <w:r>
          <w:rPr>
            <w:color w:val="0000FF"/>
          </w:rPr>
          <w:t>12.3 пункта 12</w:t>
        </w:r>
      </w:hyperlink>
      <w:r>
        <w:t xml:space="preserve"> настоящего Положения, представляют заявку и информацию об итогах деятельности и достижениях за отчетный год по номинациям, указанным: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 xml:space="preserve">в </w:t>
      </w:r>
      <w:hyperlink w:anchor="P54" w:history="1">
        <w:r>
          <w:rPr>
            <w:color w:val="0000FF"/>
          </w:rPr>
          <w:t>абзацах пятом</w:t>
        </w:r>
      </w:hyperlink>
      <w:r>
        <w:t xml:space="preserve"> - </w:t>
      </w:r>
      <w:hyperlink w:anchor="P57" w:history="1">
        <w:r>
          <w:rPr>
            <w:color w:val="0000FF"/>
          </w:rPr>
          <w:t>восьмом</w:t>
        </w:r>
      </w:hyperlink>
      <w:r>
        <w:t xml:space="preserve">, </w:t>
      </w:r>
      <w:hyperlink w:anchor="P59" w:history="1">
        <w:r>
          <w:rPr>
            <w:color w:val="0000FF"/>
          </w:rPr>
          <w:t>десятом</w:t>
        </w:r>
      </w:hyperlink>
      <w:r>
        <w:t xml:space="preserve"> - </w:t>
      </w:r>
      <w:hyperlink w:anchor="P61" w:history="1">
        <w:r>
          <w:rPr>
            <w:color w:val="0000FF"/>
          </w:rPr>
          <w:t>двенадцатом</w:t>
        </w:r>
      </w:hyperlink>
      <w:r>
        <w:t xml:space="preserve">, </w:t>
      </w:r>
      <w:hyperlink w:anchor="P63" w:history="1">
        <w:r>
          <w:rPr>
            <w:color w:val="0000FF"/>
          </w:rPr>
          <w:t>четырнадцатом</w:t>
        </w:r>
      </w:hyperlink>
      <w:r>
        <w:t xml:space="preserve"> - </w:t>
      </w:r>
      <w:hyperlink w:anchor="P70" w:history="1">
        <w:r>
          <w:rPr>
            <w:color w:val="0000FF"/>
          </w:rPr>
          <w:t>двадцать первом пункта 3</w:t>
        </w:r>
      </w:hyperlink>
      <w:r>
        <w:t xml:space="preserve"> настоящего Положения, - до 15 февраля года, следующего за отчетным, в гор- и райисполкомы, администрации районов г. Минска по месту их государственной регистрации;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 xml:space="preserve">в </w:t>
      </w:r>
      <w:hyperlink w:anchor="P62" w:history="1">
        <w:r>
          <w:rPr>
            <w:color w:val="0000FF"/>
          </w:rPr>
          <w:t>абзаце тринадцатом пункта 3</w:t>
        </w:r>
      </w:hyperlink>
      <w:r>
        <w:t xml:space="preserve"> настоящего Положения, - до 20 февраля года, следующего за отчетным, в Министерство связи и информатизации;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 xml:space="preserve">в </w:t>
      </w:r>
      <w:hyperlink w:anchor="P71" w:history="1">
        <w:r>
          <w:rPr>
            <w:color w:val="0000FF"/>
          </w:rPr>
          <w:t>абзаце двадцать втором пункта 3</w:t>
        </w:r>
      </w:hyperlink>
      <w:r>
        <w:t xml:space="preserve"> настоящего Положения, - до 20 февраля года, следующего за отчетным, в Национальную академию наук Беларуси.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7. Выдвижение лучших кандидатур осуществляется облисполкомами и Минским горисполкомом по результатам конкурсного отбора.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Порядок выдвижения лучших кандидатур определяется решениями соответствующих облисполкомов и Минского горисполкома. При этом критерии и перечень показателей оценки работы лучших кандидатур определяются с учетом требований инструкций.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Облисполкомы и Минский горисполком обеспечивают информирование организаций, расположенных в соответствующих областях и г. Минске, о проведении конкурсного отбора, порядке и критериях оценки работы лучших кандидатур.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Перечень лучших кандидатур от каждой области и г. Минска утверждается решениями соответствующих облисполкомов и Минского горисполкома.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8. Претенденты на занесение на Республиканскую доску Почета (далее - претенденты) среди лучших кандидатур, а также из числа областей и г. Минска, организаций, осуществляющих почтовую деятельность и деятельность в области телекоммуникаций, и филиалов, научных организаций определяются республиканскими органами государственного управления, иными государственными организациями, подчиненными Правительству Республики Беларусь, а также иными государственными организациями, подчиненными Президенту Республики Беларусь (далее - ответственные за определение претендентов), в частности среди: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16" w:name="P96"/>
      <w:bookmarkEnd w:id="16"/>
      <w:r>
        <w:t>областей и г. Минска, районов, городов и районов в городах, организаций промышленности - Министерством экономики;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организаций, осуществляющих деятельность в строительстве, - Министерством архитектуры и строительства;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организаций сельского и рыбного хозяйства - Министерством сельского хозяйства и продовольствия;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lastRenderedPageBreak/>
        <w:t>организаций лесного хозяйства - Министерством лесного хозяйства;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организаций торговли и организаций, предоставляющих услуги общественного питания, - Министерством антимонопольного регулирования и торговли совместно с Белорусским республиканским союзом потребительских обществ;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17" w:name="P101"/>
      <w:bookmarkEnd w:id="17"/>
      <w:r>
        <w:t>организаций, предоставляющих прочие индивидуальные услуги, - Министерством антимонопольного регулирования и торговли;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организаций, осуществляющих почтовую деятельность и деятельность в области телекоммуникаций, и филиалов - Министерством связи и информатизации;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18" w:name="P103"/>
      <w:bookmarkEnd w:id="18"/>
      <w:r>
        <w:t>организаций, осуществляющих издательскую деятельность, - Министерством информации;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организаций, осуществляющих транспортную деятельность, - Министерством транспорта и коммуникаций;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организаций образования - Министерством образования;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организаций здравоохранения - Министерством здравоохранения;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организаций социального обслуживания - Министерством труда и социальной защиты;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организаций культуры - Министерством культуры;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19" w:name="P109"/>
      <w:bookmarkEnd w:id="19"/>
      <w:r>
        <w:t>организаций физической культуры и спорта, организаций, осуществляющих туристическую деятельность, - Министерством спорта и туризма;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научных организаций - Национальной академией наук Беларуси совместно с Государственным комитетом по науке и технологиям.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9. Ответственные за определение претендентов утверждают инструкции, в которых: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9.1. по согласованию с Министерством экономики: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определяют форму заявки на участие в конкурсном отборе по соответствующим номинациям;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устанавливают порядок определения претендентов, количество лучших кандидатур, выдвигаемых облисполкомами и Минским горисполкомом, критерии оценки работы претендентов по соответствующим номинациям;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9.2. по согласованию с Национальным статистическим комитетом и Министерством экономики устанавливают перечень показателей оценки работы претендентов по соответствующим номинациям.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10. Оценка работы организаций, кроме организаций, осуществляющих почтовую деятельность и деятельность в области телекоммуникаций, и филиалов, осуществляется в целом по юридическому лицу, включая его обособленные подразделения.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11. Определение претендентов и победителей среди областей и г. Минска по итогам работы за отчетный год не осуществляется, если в целом по стране допущено снижение объема валового внутреннего продукта к уровню предыдущего года (в процентах).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20" w:name="P118"/>
      <w:bookmarkEnd w:id="20"/>
      <w:r>
        <w:t>12. Обязательными условиями для занесения на Республиканскую доску Почета по итогам работы за отчетный год являются: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lastRenderedPageBreak/>
        <w:t xml:space="preserve">12.1. для областей, г. Минска, районов, городов и районов в городах - отсутствие вступивших в законную силу обвинительных приговоров суда либо процессуальных решений органов уголовного преследования об освобождении от уголовной ответственности по </w:t>
      </w:r>
      <w:proofErr w:type="spellStart"/>
      <w:r>
        <w:t>нереабилитирующим</w:t>
      </w:r>
      <w:proofErr w:type="spellEnd"/>
      <w:r>
        <w:t xml:space="preserve"> основаниям за совершение в отчетном году коррупционных преступлений лицами, являвшимися руководителями и заместителями руководителей соответствующих местных исполнительных и распорядительных органов, а также фактов нахождения таких лиц, привлекаемых к уголовной ответственности за коррупционные преступления, в занимаемой должности в этот период;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21" w:name="P120"/>
      <w:bookmarkEnd w:id="21"/>
      <w:r>
        <w:t>12.2. для организаций и филиалов: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отсутствие в отчетном году несчастных случаев на производстве, повлекших смерть работников по вине нанимателя;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 xml:space="preserve">отсутствие вступивших в законную силу обвинительных приговоров суда либо процессуальных решений органов уголовного преследования об освобождении от уголовной ответственности по </w:t>
      </w:r>
      <w:proofErr w:type="spellStart"/>
      <w:r>
        <w:t>нереабилитирующим</w:t>
      </w:r>
      <w:proofErr w:type="spellEnd"/>
      <w:r>
        <w:t xml:space="preserve"> основаниям за совершение в отчетном году коррупционных преступлений лицами, являвшимися руководителями и заместителями руководителей соответствующих организаций и филиалов, а также фактов нахождения таких лиц, привлекаемых к уголовной ответственности за коррупционные преступления, в занимаемой должности в этот период;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отсутствие просроченной задолженности по выплате заработной платы на конец каждого месяца в отчетном году;</w:t>
      </w:r>
    </w:p>
    <w:p w:rsidR="00FB63ED" w:rsidRDefault="00FB63ED">
      <w:pPr>
        <w:pStyle w:val="ConsPlusNormal"/>
        <w:spacing w:before="220"/>
        <w:ind w:firstLine="540"/>
        <w:jc w:val="both"/>
      </w:pPr>
      <w:proofErr w:type="spellStart"/>
      <w:r>
        <w:t>непредоставление</w:t>
      </w:r>
      <w:proofErr w:type="spellEnd"/>
      <w:r>
        <w:t xml:space="preserve"> этим организациям в течение отчетного года: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 xml:space="preserve">государственной финансовой поддержки в соответствии с </w:t>
      </w:r>
      <w:hyperlink r:id="rId20" w:history="1">
        <w:r>
          <w:rPr>
            <w:color w:val="0000FF"/>
          </w:rPr>
          <w:t>подпунктом 1.7 пункта 1</w:t>
        </w:r>
      </w:hyperlink>
      <w:r>
        <w:t xml:space="preserve"> Указа Президента Республики Беларусь от 23 марта 2016 г. N 106 "О государственных программах и оказании государственной финансовой поддержки";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освобождения от уплаты налогов, сборов, иных обязательных платежей в бюджет в индивидуальном порядке, за исключением предусмотренных инвестиционным договором, заключенным между инвестором (инвесторами) и Республикой Беларусь;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отсрочки и (или) рассрочки уплаты налогов, сборов (пошлин), пеней, налогового кредита;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 xml:space="preserve">иной государственной поддержки, решение о предоставлении которой принято до вступления в силу </w:t>
      </w:r>
      <w:hyperlink r:id="rId21" w:history="1">
        <w:r>
          <w:rPr>
            <w:color w:val="0000FF"/>
          </w:rPr>
          <w:t>Указа</w:t>
        </w:r>
      </w:hyperlink>
      <w:r>
        <w:t xml:space="preserve"> Президента Республики Беларусь от 23 марта 2016 г. N 106, за исключением предоставленной для развития высокоэффективных производств, реализации инвестиционных проектов с высокой добавленной стоимостью, государственных и отраслевых программ и мероприятий в агропромышленном комплексе при условии выполнения показателей, являющихся условием оказания государственной поддержки;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22" w:name="P129"/>
      <w:bookmarkEnd w:id="22"/>
      <w:r>
        <w:t xml:space="preserve">12.3. для организаций сельского хозяйства - помимо условий, предусмотренных в </w:t>
      </w:r>
      <w:hyperlink w:anchor="P120" w:history="1">
        <w:r>
          <w:rPr>
            <w:color w:val="0000FF"/>
          </w:rPr>
          <w:t>подпункте 12.2</w:t>
        </w:r>
      </w:hyperlink>
      <w:r>
        <w:t xml:space="preserve"> настоящего пункта, выполнение объемов поставок (закупок) товаров для республиканских государственных нужд.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13. Министерство финансов до 1 марта года, следующего за отчетным, представляет в Министерство экономики сведения об организациях, получивших в отчетном году государственную поддержку.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14. Для определения претендентов среди областей и г. Минска в Министерство экономики до 1 марта года, следующего за отчетным годом или отчетным пятилетним периодом, представляются: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lastRenderedPageBreak/>
        <w:t>Национальным статистическим комитетом - официальная статистическая информация за отчетный год и отчетный пятилетний период по перечню показателей оценки работы претендентов по соответствующей номинации;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Государственным комитетом по стандартизации - данные о выполнении целевого показателя по энергосбережению за отчетный год.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15. Официальная статистическая информация по итогам работы организаций сельского хозяйства областей до 1 марта года, следующего за отчетным, представляется Национальным статистическим комитетом в Министерство сельского хозяйства и продовольствия.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16. Облисполкомы и Минский горисполком до 1 марта года, следующего за отчетным, обеспечивают: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подготовку перечня заявок на участие в конкурсном отборе, проведение конкурсного отбора и выдвижение лучших кандидатур по соответствующим номинациям;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23" w:name="P137"/>
      <w:bookmarkEnd w:id="23"/>
      <w:r>
        <w:t xml:space="preserve">подготовку перечня лучших кандидатур от области и г. Минска и решения о его утверждении, справок о выполнении лучшими кандидатурами обязательных условий для занесения на Республиканскую доску Почета, предусмотренных в </w:t>
      </w:r>
      <w:hyperlink w:anchor="P118" w:history="1">
        <w:r>
          <w:rPr>
            <w:color w:val="0000FF"/>
          </w:rPr>
          <w:t>пункте 12</w:t>
        </w:r>
      </w:hyperlink>
      <w:r>
        <w:t xml:space="preserve"> настоящего Положения, критериев и показателей оценки работы за отчетный год;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24" w:name="P138"/>
      <w:bookmarkEnd w:id="24"/>
      <w:r>
        <w:t xml:space="preserve">согласование перечня лучших кандидатур с соответствующими территориальными органами Комитета государственного контроля, Комитета государственной безопасности, Министерства внутренних дел, территориальными прокуратурами с представлением справок, указанных в </w:t>
      </w:r>
      <w:hyperlink w:anchor="P137" w:history="1">
        <w:r>
          <w:rPr>
            <w:color w:val="0000FF"/>
          </w:rPr>
          <w:t>абзаце третьем</w:t>
        </w:r>
      </w:hyperlink>
      <w:r>
        <w:t xml:space="preserve"> настоящего пункта;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25" w:name="P139"/>
      <w:bookmarkEnd w:id="25"/>
      <w:r>
        <w:t xml:space="preserve">согласование справок, указанных в </w:t>
      </w:r>
      <w:hyperlink w:anchor="P137" w:history="1">
        <w:r>
          <w:rPr>
            <w:color w:val="0000FF"/>
          </w:rPr>
          <w:t>абзаце третьем</w:t>
        </w:r>
      </w:hyperlink>
      <w:r>
        <w:t xml:space="preserve"> настоящего пункта, с соответствующими территориальными органами государственной статистики, Государственного комитета по стандартизации;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 xml:space="preserve">направление ответственным за определение претендентов перечня заявок на участие в конкурсном отборе, материалов, указанных в </w:t>
      </w:r>
      <w:hyperlink w:anchor="P137" w:history="1">
        <w:r>
          <w:rPr>
            <w:color w:val="0000FF"/>
          </w:rPr>
          <w:t>абзаце третьем</w:t>
        </w:r>
      </w:hyperlink>
      <w:r>
        <w:t xml:space="preserve"> настоящего пункта, информации об итогах деятельности и достижениях лучших кандидатур за отчетный год.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26" w:name="P141"/>
      <w:bookmarkEnd w:id="26"/>
      <w:r>
        <w:t>17. Министерство связи и информатизации, Национальная академия наук Беларуси совместно с Государственным комитетом по науке и технологиям в отношении соответственно организаций, осуществляющих почтовую деятельность и деятельность в области телекоммуникаций, и филиалов, научных организаций до 12 марта года, следующего за отчетным, обеспечивают: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подготовку перечня заявок на участие в конкурсном отборе, проведение конкурсного отбора для определения претендентов по соответствующим номинациям;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27" w:name="P143"/>
      <w:bookmarkEnd w:id="27"/>
      <w:r>
        <w:t xml:space="preserve">подготовку перечня претендентов по соответствующим номинациям и решения о его утверждении, справок о выполнении претендентами обязательных условий для занесения на Республиканскую доску Почета, предусмотренных в </w:t>
      </w:r>
      <w:hyperlink w:anchor="P120" w:history="1">
        <w:r>
          <w:rPr>
            <w:color w:val="0000FF"/>
          </w:rPr>
          <w:t>подпункте 12.2 пункта 12</w:t>
        </w:r>
      </w:hyperlink>
      <w:r>
        <w:t xml:space="preserve"> настоящего Положения, критериев и показателей оценки работы за отчетный год;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 xml:space="preserve">согласование перечня претендентов по соответствующим номинациям с соответствующими территориальными органами Комитета государственного контроля, Комитета государственной безопасности, Министерства внутренних дел, территориальными прокуратурами с представлением справок, указанных в </w:t>
      </w:r>
      <w:hyperlink w:anchor="P143" w:history="1">
        <w:r>
          <w:rPr>
            <w:color w:val="0000FF"/>
          </w:rPr>
          <w:t>абзаце третьем</w:t>
        </w:r>
      </w:hyperlink>
      <w:r>
        <w:t xml:space="preserve"> настоящего пункта;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 xml:space="preserve">согласование справок, указанных в </w:t>
      </w:r>
      <w:hyperlink w:anchor="P143" w:history="1">
        <w:r>
          <w:rPr>
            <w:color w:val="0000FF"/>
          </w:rPr>
          <w:t>абзаце третьем</w:t>
        </w:r>
      </w:hyperlink>
      <w:r>
        <w:t xml:space="preserve"> настоящего пункта, с соответствующими территориальными органами государственной статистики, Государственного комитета по </w:t>
      </w:r>
      <w:r>
        <w:lastRenderedPageBreak/>
        <w:t>стандартизации;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 xml:space="preserve">направление в Министерство экономики перечня заявок на участие в конкурсном отборе, материалов, указанных в </w:t>
      </w:r>
      <w:hyperlink w:anchor="P143" w:history="1">
        <w:r>
          <w:rPr>
            <w:color w:val="0000FF"/>
          </w:rPr>
          <w:t>абзаце третьем</w:t>
        </w:r>
      </w:hyperlink>
      <w:r>
        <w:t xml:space="preserve"> настоящего пункта, информации об итогах деятельности и достижениях претендентов за отчетный год.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 xml:space="preserve">18. Согласование материалов, указанных в </w:t>
      </w:r>
      <w:hyperlink w:anchor="P138" w:history="1">
        <w:r>
          <w:rPr>
            <w:color w:val="0000FF"/>
          </w:rPr>
          <w:t>абзацах четвертом</w:t>
        </w:r>
      </w:hyperlink>
      <w:r>
        <w:t xml:space="preserve"> и </w:t>
      </w:r>
      <w:hyperlink w:anchor="P139" w:history="1">
        <w:r>
          <w:rPr>
            <w:color w:val="0000FF"/>
          </w:rPr>
          <w:t>пятом пунктов 16</w:t>
        </w:r>
      </w:hyperlink>
      <w:r>
        <w:t xml:space="preserve"> и </w:t>
      </w:r>
      <w:hyperlink w:anchor="P141" w:history="1">
        <w:r>
          <w:rPr>
            <w:color w:val="0000FF"/>
          </w:rPr>
          <w:t>17</w:t>
        </w:r>
      </w:hyperlink>
      <w:r>
        <w:t xml:space="preserve"> настоящего Положения, осуществляется в течение пяти рабочих дней со дня, следующего за днем их представления облисполкомами, Минским горисполкомом, Министерством связи и информатизации, Национальной академией наук Беларуси.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28" w:name="P148"/>
      <w:bookmarkEnd w:id="28"/>
      <w:r>
        <w:t xml:space="preserve">19. Ответственные за определение претендентов, за исключением указанных в </w:t>
      </w:r>
      <w:hyperlink w:anchor="P141" w:history="1">
        <w:r>
          <w:rPr>
            <w:color w:val="0000FF"/>
          </w:rPr>
          <w:t>абзаце первом пункта 17</w:t>
        </w:r>
      </w:hyperlink>
      <w:r>
        <w:t xml:space="preserve"> настоящего Положения и Министерства экономики, до 12 марта года, следующего за отчетным, обеспечивают: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проведение конкурсного отбора для определения претендентов по соответствующим номинациям;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29" w:name="P150"/>
      <w:bookmarkEnd w:id="29"/>
      <w:r>
        <w:t xml:space="preserve">подготовку перечня претендентов по соответствующим номинациям и решения о его утверждении, справок о выполнении претендентами обязательных условий для занесения на Республиканскую доску Почета, предусмотренных в </w:t>
      </w:r>
      <w:hyperlink w:anchor="P120" w:history="1">
        <w:r>
          <w:rPr>
            <w:color w:val="0000FF"/>
          </w:rPr>
          <w:t>подпунктах 12.2</w:t>
        </w:r>
      </w:hyperlink>
      <w:r>
        <w:t xml:space="preserve"> и </w:t>
      </w:r>
      <w:hyperlink w:anchor="P129" w:history="1">
        <w:r>
          <w:rPr>
            <w:color w:val="0000FF"/>
          </w:rPr>
          <w:t>12.3 пункта 12</w:t>
        </w:r>
      </w:hyperlink>
      <w:r>
        <w:t xml:space="preserve"> настоящего Положения, критериев и показателей оценки работы за отчетный год;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 xml:space="preserve">направление в Министерство экономики перечня заявок на участие в конкурсном отборе, материалов, указанных в </w:t>
      </w:r>
      <w:hyperlink w:anchor="P150" w:history="1">
        <w:r>
          <w:rPr>
            <w:color w:val="0000FF"/>
          </w:rPr>
          <w:t>абзаце третьем</w:t>
        </w:r>
      </w:hyperlink>
      <w:r>
        <w:t xml:space="preserve"> настоящего пункта, информации об итогах деятельности и достижениях претендентов за отчетный год.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 xml:space="preserve">20. Материалы, представляемые в Министерство экономики ответственными за определение претендентов в соответствии с </w:t>
      </w:r>
      <w:hyperlink w:anchor="P141" w:history="1">
        <w:r>
          <w:rPr>
            <w:color w:val="0000FF"/>
          </w:rPr>
          <w:t>пунктами 17</w:t>
        </w:r>
      </w:hyperlink>
      <w:r>
        <w:t xml:space="preserve"> и </w:t>
      </w:r>
      <w:hyperlink w:anchor="P148" w:history="1">
        <w:r>
          <w:rPr>
            <w:color w:val="0000FF"/>
          </w:rPr>
          <w:t>19</w:t>
        </w:r>
      </w:hyperlink>
      <w:r>
        <w:t xml:space="preserve"> настоящего Положения, при нарушении установленного срока их представления, отсутствии необходимых согласований, а также по претендентам, не выполнившим условий, предусмотренных в </w:t>
      </w:r>
      <w:hyperlink w:anchor="P118" w:history="1">
        <w:r>
          <w:rPr>
            <w:color w:val="0000FF"/>
          </w:rPr>
          <w:t>пункте 12</w:t>
        </w:r>
      </w:hyperlink>
      <w:r>
        <w:t xml:space="preserve"> настоящего Положения, не рассматриваются.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21. Министерство экономики: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21.1. в отношении областей и г. Минска, районов, городов и районов в городах, организаций промышленности до 12 марта года, следующего за отчетным годом или отчетным пятилетним периодом, обеспечивает: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проведение конкурсного отбора для определения претендентов по соответствующим номинациям;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 xml:space="preserve">подготовку перечня претендентов по соответствующим номинациям и решения о его утверждении, справок о выполнении претендентами обязательных условий для занесения на Республиканскую доску Почета, предусмотренных в </w:t>
      </w:r>
      <w:hyperlink w:anchor="P118" w:history="1">
        <w:r>
          <w:rPr>
            <w:color w:val="0000FF"/>
          </w:rPr>
          <w:t>пункте 12</w:t>
        </w:r>
      </w:hyperlink>
      <w:r>
        <w:t xml:space="preserve"> настоящего Положения, критериев и показателей оценки работы за отчетный год или отчетный пятилетний период;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21.2. до 25 марта года, следующего за отчетным годом или отчетным пятилетним периодом: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обобщает подготовленные и представленные ответственными за определение претендентов предложения;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вносит в Совет Министров Республики Беларусь в установленном порядке предложения о претендентах.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 xml:space="preserve">22. Совет Министров Республики Беларусь до 15 апреля года, следующего за отчетным </w:t>
      </w:r>
      <w:r>
        <w:lastRenderedPageBreak/>
        <w:t xml:space="preserve">годом или отчетным пятилетним периодом, направляет Президенту Республики Беларусь для рассмотрения ходатайство о занесении на Республиканскую доску Почета претендентов и справки о выполнении претендентами обязательных условий для занесения на Республиканскую доску Почета, предусмотренных в </w:t>
      </w:r>
      <w:hyperlink w:anchor="P118" w:history="1">
        <w:r>
          <w:rPr>
            <w:color w:val="0000FF"/>
          </w:rPr>
          <w:t>пункте 12</w:t>
        </w:r>
      </w:hyperlink>
      <w:r>
        <w:t xml:space="preserve"> настоящего Положения, критериев и показателей оценки работы за отчетный год или отчетный пятилетний период.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23. Решение о признании претендентов победителями и занесении их на Республиканскую доску Почета принимается Главой государства в форме указа Президента Республики Беларусь.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24. Официальное открытие обновленной Республиканской доски Почета осуществляется ежегодно в канун Праздника труда.</w:t>
      </w:r>
    </w:p>
    <w:p w:rsidR="00FB63ED" w:rsidRDefault="00FB63ED">
      <w:pPr>
        <w:pStyle w:val="ConsPlusNormal"/>
      </w:pPr>
    </w:p>
    <w:p w:rsidR="00FB63ED" w:rsidRDefault="00FB63ED">
      <w:pPr>
        <w:pStyle w:val="ConsPlusNormal"/>
      </w:pPr>
    </w:p>
    <w:p w:rsidR="00FB63ED" w:rsidRDefault="00FB63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5133" w:rsidRDefault="00BE5133"/>
    <w:sectPr w:rsidR="00BE5133" w:rsidSect="008F4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3ED"/>
    <w:rsid w:val="000933DE"/>
    <w:rsid w:val="00167440"/>
    <w:rsid w:val="00BE5133"/>
    <w:rsid w:val="00FB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6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63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B6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63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6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63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B6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63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D61860056CE438DDFF4CB38542D7616A607304D31D8F7584A170E985DDCE043E03A87ADD2813D0B6BE76EFQ5MBO" TargetMode="External"/><Relationship Id="rId13" Type="http://schemas.openxmlformats.org/officeDocument/2006/relationships/hyperlink" Target="consultantplus://offline/ref=59D61860056CE438DDFF4CB38542D7616A607304D314897087AB7BB48FD597083C04A725CA2F5ADCB7BE76EC52Q7M6O" TargetMode="External"/><Relationship Id="rId18" Type="http://schemas.openxmlformats.org/officeDocument/2006/relationships/hyperlink" Target="consultantplus://offline/ref=59D61860056CE438DDFF4CB38542D7616A607304D314897087AB7BB48FD597083C04A725CA2F5ADCB7BE76EC52Q7M2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9D61860056CE438DDFF4CB38542D7616A607304D314847181A87FB48FD597083C04QAM7O" TargetMode="External"/><Relationship Id="rId7" Type="http://schemas.openxmlformats.org/officeDocument/2006/relationships/hyperlink" Target="consultantplus://offline/ref=59D61860056CE438DDFF4CB38542D7616A607304D3138E7487AA70E985DDCE043E03A87ADD2813D0B6BE76ECQ5M7O" TargetMode="External"/><Relationship Id="rId12" Type="http://schemas.openxmlformats.org/officeDocument/2006/relationships/hyperlink" Target="consultantplus://offline/ref=59D61860056CE438DDFF4CB38542D7616A607304D31488768FA878B48FD597083C04A725CA2F5ADCB7BE76ED52Q7M7O" TargetMode="External"/><Relationship Id="rId17" Type="http://schemas.openxmlformats.org/officeDocument/2006/relationships/hyperlink" Target="consultantplus://offline/ref=59D61860056CE438DDFF4CB38542D7616A607304D314897087AB7BB48FD597083C04A725CA2F5ADCB7BE76EC52Q7M0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9D61860056CE438DDFF4CB38542D7616A607304D314847084AC7AB48FD597083C04A725CA2F5ADCB7BE76EC52Q7M1O" TargetMode="External"/><Relationship Id="rId20" Type="http://schemas.openxmlformats.org/officeDocument/2006/relationships/hyperlink" Target="consultantplus://offline/ref=59D61860056CE438DDFF4CB38542D7616A607304D314847181A87FB48FD597083C04A725CA2F5ADCB7BE76EC53Q7MC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9D61860056CE438DDFF4CB38542D7616A607304D3108B7484AD70E985DDCE043E03A87ADD2813D0B6BE76ECQ5M7O" TargetMode="External"/><Relationship Id="rId11" Type="http://schemas.openxmlformats.org/officeDocument/2006/relationships/hyperlink" Target="consultantplus://offline/ref=59D61860056CE438DDFF4CB38542D7616A607304D3148F7985A97CB48FD597083C04A725CA2F5ADCB7BE76EC52Q7M6O" TargetMode="External"/><Relationship Id="rId5" Type="http://schemas.openxmlformats.org/officeDocument/2006/relationships/hyperlink" Target="consultantplus://offline/ref=59D61860056CE438DDFF4CB38542D7616A607304D3108E7481AD70E985DDCE043E03A87ADD2813D0B6BE76ECQ5M6O" TargetMode="External"/><Relationship Id="rId15" Type="http://schemas.openxmlformats.org/officeDocument/2006/relationships/hyperlink" Target="consultantplus://offline/ref=59D61860056CE438DDFF4CB38542D7616A607304D314847084AC7AB48FD597083C04A725CA2F5ADCB7BE76EC52Q7M6O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59D61860056CE438DDFF4CB38542D7616A607304D3148D7883AA72B48FD597083C04A725CA2F5ADCB7BE76EC52Q7M1O" TargetMode="External"/><Relationship Id="rId19" Type="http://schemas.openxmlformats.org/officeDocument/2006/relationships/hyperlink" Target="consultantplus://offline/ref=59D61860056CE438DDFF4CB38542D7616A607304D314847084AC7AB48FD597083C04A725CA2F5ADCB7BE76EC52Q7M3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D61860056CE438DDFF4CB38542D7616A607304D31D88718FA970E985DDCE043E03A87ADD2813D0B6BE76ECQ5M7O" TargetMode="External"/><Relationship Id="rId14" Type="http://schemas.openxmlformats.org/officeDocument/2006/relationships/hyperlink" Target="consultantplus://offline/ref=59D61860056CE438DDFF4CB38542D7616A607304D314897281AB7CB48FD597083C04A725CA2F5ADCB7BE76EC53Q7M0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3785</Words>
  <Characters>21580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 Т. Губарь</dc:creator>
  <cp:lastModifiedBy>Зам по экономике</cp:lastModifiedBy>
  <cp:revision>2</cp:revision>
  <dcterms:created xsi:type="dcterms:W3CDTF">2026-01-14T13:41:00Z</dcterms:created>
  <dcterms:modified xsi:type="dcterms:W3CDTF">2026-01-14T13:41:00Z</dcterms:modified>
</cp:coreProperties>
</file>