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6" w:rsidRPr="00522BEE" w:rsidRDefault="00120196" w:rsidP="00522BEE">
      <w:pPr>
        <w:spacing w:after="0" w:line="240" w:lineRule="auto"/>
        <w:jc w:val="center"/>
        <w:rPr>
          <w:rFonts w:ascii="Tahoma" w:eastAsia="Times New Roman" w:hAnsi="Tahoma" w:cs="Tahoma"/>
          <w:b/>
          <w:color w:val="443F3F"/>
          <w:sz w:val="20"/>
          <w:szCs w:val="20"/>
        </w:rPr>
      </w:pPr>
      <w:r w:rsidRPr="00522BEE">
        <w:rPr>
          <w:rFonts w:ascii="Tahoma" w:eastAsia="Times New Roman" w:hAnsi="Tahoma" w:cs="Tahoma"/>
          <w:b/>
          <w:color w:val="443F3F"/>
          <w:sz w:val="20"/>
          <w:szCs w:val="20"/>
        </w:rPr>
        <w:t>Добровольное страхование дополнительной пенсии с финансовой поддержкой государства (программа «три плюс три»)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i/>
          <w:iCs/>
          <w:color w:val="443F3F"/>
          <w:sz w:val="17"/>
          <w:szCs w:val="17"/>
        </w:rPr>
        <w:t>(Указ Президента Республики Беларусь от 27 сентября 2021 г. № 367 «О добровольном страховании дополнительной накопительной пенсии»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).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 1 октября 2022 г.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вводится дополнительный вид добровольного пенсионного страхования в страховой организации –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добровольное страхование дополнительной накопительной пенсии (программа «три плюс три»)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000080"/>
          <w:sz w:val="17"/>
          <w:szCs w:val="17"/>
        </w:rPr>
        <w:t>В чем преимущество нового пенсионного страхования?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Главное отличие новой программы страхования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от других накопительных пенсионных программ страховых организаций –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 xml:space="preserve">государственное </w:t>
      </w:r>
      <w:proofErr w:type="spellStart"/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софинансирование</w:t>
      </w:r>
      <w:proofErr w:type="spellEnd"/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Оно заключается в том, что работникам,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которые примут решение участвовать в новой программе 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и</w:t>
      </w:r>
      <w:r>
        <w:rPr>
          <w:rFonts w:ascii="Tahoma" w:eastAsia="Times New Roman" w:hAnsi="Tahoma" w:cs="Tahoma"/>
          <w:color w:val="443F3F"/>
          <w:sz w:val="17"/>
          <w:szCs w:val="17"/>
        </w:rPr>
        <w:br/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 1 октября 2022 г. будут уплачивать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из своей заработной платы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дополнительный взнос на будущую накопительную пенсию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,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часть взносов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на эту пенсию будет оплачена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из государственных средств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000080"/>
          <w:sz w:val="17"/>
          <w:szCs w:val="17"/>
        </w:rPr>
        <w:t>Тариф накопительного взноса</w:t>
      </w:r>
    </w:p>
    <w:p w:rsidR="00120196" w:rsidRPr="00120196" w:rsidRDefault="00120196" w:rsidP="001201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для работника – от 1 до 10 процентов (включительно) фактического заработка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Дополнительный взнос 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на накопительную пенсию по выбранному тарифу работник уплачивает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наряду с обязательным 1-процентным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взносом в бюджет фонда социальной защиты населения.</w:t>
      </w:r>
    </w:p>
    <w:p w:rsidR="00120196" w:rsidRPr="00120196" w:rsidRDefault="00120196" w:rsidP="001201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для работодателя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–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соразмерно взносу работника, но не более 3 процентных пунктов.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В случае участия работника в новой программе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страхования его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работодатель обязан уплачивать дополнительный взнос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на накопительную пенсию этого работника.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tbl>
      <w:tblPr>
        <w:tblW w:w="6156" w:type="dxa"/>
        <w:tblCellSpacing w:w="0" w:type="dxa"/>
        <w:tblBorders>
          <w:top w:val="single" w:sz="4" w:space="0" w:color="88A4D3"/>
          <w:left w:val="single" w:sz="4" w:space="0" w:color="88A4D3"/>
          <w:bottom w:val="single" w:sz="4" w:space="0" w:color="88A4D3"/>
          <w:right w:val="single" w:sz="4" w:space="0" w:color="88A4D3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1996"/>
        <w:gridCol w:w="2465"/>
      </w:tblGrid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b/>
                <w:bCs/>
                <w:color w:val="443F3F"/>
                <w:sz w:val="17"/>
                <w:szCs w:val="17"/>
              </w:rPr>
              <w:t>Работник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b/>
                <w:bCs/>
                <w:color w:val="443F3F"/>
                <w:sz w:val="17"/>
                <w:szCs w:val="17"/>
              </w:rPr>
              <w:t>Работодатель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b/>
                <w:bCs/>
                <w:color w:val="443F3F"/>
                <w:sz w:val="17"/>
                <w:szCs w:val="17"/>
              </w:rPr>
              <w:t>Итого:</w:t>
            </w:r>
          </w:p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b/>
                <w:bCs/>
                <w:color w:val="443F3F"/>
                <w:sz w:val="17"/>
                <w:szCs w:val="17"/>
              </w:rPr>
              <w:t>общий тариф взноса на накопительную пенсию</w:t>
            </w:r>
          </w:p>
        </w:tc>
      </w:tr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1%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1%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2%</w:t>
            </w:r>
          </w:p>
        </w:tc>
      </w:tr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2%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2%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4%</w:t>
            </w:r>
          </w:p>
        </w:tc>
      </w:tr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3%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3%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6%</w:t>
            </w:r>
          </w:p>
        </w:tc>
      </w:tr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4%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3%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7%</w:t>
            </w:r>
          </w:p>
        </w:tc>
      </w:tr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5%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3%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8%</w:t>
            </w:r>
          </w:p>
        </w:tc>
      </w:tr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…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3%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…</w:t>
            </w:r>
          </w:p>
        </w:tc>
      </w:tr>
      <w:tr w:rsidR="00120196" w:rsidRPr="00120196" w:rsidTr="00120196">
        <w:trPr>
          <w:tblCellSpacing w:w="0" w:type="dxa"/>
        </w:trPr>
        <w:tc>
          <w:tcPr>
            <w:tcW w:w="16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10%</w:t>
            </w:r>
          </w:p>
        </w:tc>
        <w:tc>
          <w:tcPr>
            <w:tcW w:w="1992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3%</w:t>
            </w:r>
          </w:p>
        </w:tc>
        <w:tc>
          <w:tcPr>
            <w:tcW w:w="2460" w:type="dxa"/>
            <w:tcBorders>
              <w:top w:val="single" w:sz="4" w:space="0" w:color="88A4D3"/>
              <w:left w:val="single" w:sz="4" w:space="0" w:color="88A4D3"/>
              <w:bottom w:val="single" w:sz="4" w:space="0" w:color="88A4D3"/>
              <w:right w:val="single" w:sz="4" w:space="0" w:color="88A4D3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196" w:rsidRPr="00120196" w:rsidRDefault="00120196" w:rsidP="00120196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443F3F"/>
                <w:sz w:val="17"/>
                <w:szCs w:val="17"/>
              </w:rPr>
            </w:pPr>
            <w:r w:rsidRPr="00120196">
              <w:rPr>
                <w:rFonts w:ascii="Tahoma" w:eastAsia="Times New Roman" w:hAnsi="Tahoma" w:cs="Tahoma"/>
                <w:color w:val="443F3F"/>
                <w:sz w:val="17"/>
                <w:szCs w:val="17"/>
              </w:rPr>
              <w:t>13%</w:t>
            </w:r>
          </w:p>
        </w:tc>
      </w:tr>
    </w:tbl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При этом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общий взнос работодателя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на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социальное (пенсионное) страхование не увеличится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 Для него будет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соразмерно уменьшен тариф обязательного 28-процентного страхового взноса на пенсионное страхование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в бюджет фонда соцзащиты.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Передача части взноса работодателя (до 3 процентов) в пенсионные накопления работнику – это выпадающие доходы бюджета фонда соцзащиты. Поэтому государство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принимает на себя обязательства по сохранению доходов бюджета фонда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для обеспечения выплаты текущих пенсий в рамках солидарной пенсионной системы.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 xml:space="preserve">В 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lastRenderedPageBreak/>
        <w:t xml:space="preserve">этом и состоит механизм государственного </w:t>
      </w:r>
      <w:proofErr w:type="spellStart"/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софинансирования</w:t>
      </w:r>
      <w:proofErr w:type="spellEnd"/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новой программы добровольного страхования дополнительной накопительной пенсии по Указу № 367.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000080"/>
          <w:sz w:val="17"/>
          <w:szCs w:val="17"/>
        </w:rPr>
        <w:t>Кто может участвовать в программе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Право участвовать в новом страховании предоставляется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работникам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</w:t>
      </w:r>
      <w:r w:rsidRPr="00120196">
        <w:rPr>
          <w:rFonts w:ascii="Tahoma" w:eastAsia="Times New Roman" w:hAnsi="Tahoma" w:cs="Tahoma"/>
          <w:i/>
          <w:iCs/>
          <w:color w:val="443F3F"/>
          <w:sz w:val="17"/>
          <w:szCs w:val="17"/>
        </w:rPr>
        <w:t>(гражданам, работающим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собственности)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, за которых их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работодателями уплачиваются обязательные взносы в бюджет фонда соцзащиты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Вступать в новую программу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страхования можно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не позднее, чем за три года до достижения общеустановленного пенсионного возраста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000080"/>
          <w:sz w:val="17"/>
          <w:szCs w:val="17"/>
        </w:rPr>
        <w:t>Порядок вступления в новую программу и участие в ней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Добровольное страхование дополнительной накопительной пенсии по Указу № 367 будет осуществляться республиканским унитарным страховым предприятием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«</w:t>
      </w:r>
      <w:proofErr w:type="spellStart"/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Стравита</w:t>
      </w:r>
      <w:proofErr w:type="spellEnd"/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»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(страховщик).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Работники, желающие формировать дополнительную накопительную пенсию, смогут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 1 октября 2022 г.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подавать заявление и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заключать договор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непосредственно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у страховщика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или в электронном виде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через официальный сайт страховщика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Дополнительные взносы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на накопительную пенсию в РУСП «</w:t>
      </w:r>
      <w:proofErr w:type="spellStart"/>
      <w:r w:rsidRPr="00120196">
        <w:rPr>
          <w:rFonts w:ascii="Tahoma" w:eastAsia="Times New Roman" w:hAnsi="Tahoma" w:cs="Tahoma"/>
          <w:color w:val="443F3F"/>
          <w:sz w:val="17"/>
          <w:szCs w:val="17"/>
        </w:rPr>
        <w:t>Стравита</w:t>
      </w:r>
      <w:proofErr w:type="spellEnd"/>
      <w:r w:rsidRPr="00120196">
        <w:rPr>
          <w:rFonts w:ascii="Tahoma" w:eastAsia="Times New Roman" w:hAnsi="Tahoma" w:cs="Tahoma"/>
          <w:color w:val="443F3F"/>
          <w:sz w:val="17"/>
          <w:szCs w:val="17"/>
        </w:rPr>
        <w:t>» будут ежемесячно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перечисляться работодателем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  <w:u w:val="single"/>
        </w:rPr>
        <w:t>по заявлению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работника.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Работник вправе менять тариф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взноса на накопительную пенсию, но не чаще 1 раза в год. Также можно в любой момент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приостановить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свое участие в программе и затем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возобновить 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уплату дополнительных взносов.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При достижении общеустановленного пенсионного возраста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страховщиком работнику ежемесячно будет выплачиваться дополнительная накопительная пенсия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в течение 5 или 10 лет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(по выбору гражданина).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000080"/>
          <w:sz w:val="17"/>
          <w:szCs w:val="17"/>
        </w:rPr>
        <w:t>Размер будущей накопительной пенсии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Размер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накопительной пенсии будет исчисляться из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сумм дополнительных взносов с учетом доходов от их инвестирования 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(по принципу – сколько накопил, столько и получил).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Детальную информацию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о возможных размерах будущей накопительной пенсии, а также о процедуре участия в добровольном страховании дополнительной накопительной пенсии по Указу № 367 можно получить у страховщика – РУСП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«</w:t>
      </w:r>
      <w:proofErr w:type="spellStart"/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Стравита</w:t>
      </w:r>
      <w:proofErr w:type="spellEnd"/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».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000080"/>
          <w:sz w:val="17"/>
          <w:szCs w:val="17"/>
        </w:rPr>
        <w:t>Что дает работнику участие в пенсионном страховании по Указу № 367</w:t>
      </w:r>
    </w:p>
    <w:p w:rsidR="00120196" w:rsidRPr="00120196" w:rsidRDefault="00120196" w:rsidP="00120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доступный и понятный механизм заблаговременного сбережения средств на старость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с финансовой поддержкой государства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 При вступлении работника в программу взносы на его будущую накопительную пенсию на 30-50 процентов будут оплачены из государственных средств</w:t>
      </w:r>
    </w:p>
    <w:p w:rsidR="00120196" w:rsidRPr="00120196" w:rsidRDefault="00120196" w:rsidP="00120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право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 на льготу по подоходному налогу.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Так, работникам предоставляется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право на получение социального налогового вычета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на сумму уплаченных за счет средств работника страховых взносов 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Дополнительные накопительные пенсии 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также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освобождаются от подоходного налога с физических лиц</w:t>
      </w:r>
    </w:p>
    <w:p w:rsidR="00120196" w:rsidRPr="00120196" w:rsidRDefault="00120196" w:rsidP="001201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возможность н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аследования пенсионных накоплений</w:t>
      </w:r>
    </w:p>
    <w:p w:rsidR="00120196" w:rsidRPr="00120196" w:rsidRDefault="00120196" w:rsidP="001201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гарантия сохранности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пенсионных накоплений. Осуществление добровольного страхования дополнительной накопительной пенсии возложено на государственную страховую организацию – РУСП «</w:t>
      </w:r>
      <w:proofErr w:type="spellStart"/>
      <w:r w:rsidRPr="00120196">
        <w:rPr>
          <w:rFonts w:ascii="Tahoma" w:eastAsia="Times New Roman" w:hAnsi="Tahoma" w:cs="Tahoma"/>
          <w:color w:val="443F3F"/>
          <w:sz w:val="17"/>
          <w:szCs w:val="17"/>
        </w:rPr>
        <w:t>Стравита</w:t>
      </w:r>
      <w:proofErr w:type="spellEnd"/>
      <w:r w:rsidRPr="00120196">
        <w:rPr>
          <w:rFonts w:ascii="Tahoma" w:eastAsia="Times New Roman" w:hAnsi="Tahoma" w:cs="Tahoma"/>
          <w:color w:val="443F3F"/>
          <w:sz w:val="17"/>
          <w:szCs w:val="17"/>
        </w:rPr>
        <w:t>».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Государство гарантирует страховые выплаты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 по договорам страхования, заключенным этим страховым предприятием.</w:t>
      </w:r>
    </w:p>
    <w:p w:rsidR="00120196" w:rsidRPr="00120196" w:rsidRDefault="00120196" w:rsidP="001201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>вступление работника в новую программу никак </w:t>
      </w:r>
      <w:r w:rsidRPr="00120196">
        <w:rPr>
          <w:rFonts w:ascii="Tahoma" w:eastAsia="Times New Roman" w:hAnsi="Tahoma" w:cs="Tahoma"/>
          <w:b/>
          <w:bCs/>
          <w:color w:val="443F3F"/>
          <w:sz w:val="17"/>
          <w:szCs w:val="17"/>
        </w:rPr>
        <w:t>не отразится на его государственной трудовой (солидарной) пенсии</w:t>
      </w:r>
      <w:r w:rsidRPr="00120196">
        <w:rPr>
          <w:rFonts w:ascii="Tahoma" w:eastAsia="Times New Roman" w:hAnsi="Tahoma" w:cs="Tahoma"/>
          <w:color w:val="443F3F"/>
          <w:sz w:val="17"/>
          <w:szCs w:val="17"/>
        </w:rPr>
        <w:t>. Ее размер будет определяться по тем же правилам, что и у работников, не участвующих в добровольном страховании, – исходя из показателей стажа и заработка до обращения за пенсией.</w:t>
      </w:r>
    </w:p>
    <w:p w:rsidR="00120196" w:rsidRPr="00120196" w:rsidRDefault="00120196" w:rsidP="00120196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7"/>
          <w:szCs w:val="17"/>
        </w:rPr>
      </w:pPr>
      <w:r w:rsidRPr="00120196">
        <w:rPr>
          <w:rFonts w:ascii="Tahoma" w:eastAsia="Times New Roman" w:hAnsi="Tahoma" w:cs="Tahoma"/>
          <w:color w:val="443F3F"/>
          <w:sz w:val="17"/>
          <w:szCs w:val="17"/>
        </w:rPr>
        <w:t xml:space="preserve">Дополнительная информация о добровольном страховании дополнительной накопительной пенсии размещена на сайте </w:t>
      </w:r>
      <w:proofErr w:type="gramStart"/>
      <w:r w:rsidRPr="00120196">
        <w:rPr>
          <w:rFonts w:ascii="Tahoma" w:eastAsia="Times New Roman" w:hAnsi="Tahoma" w:cs="Tahoma"/>
          <w:color w:val="443F3F"/>
          <w:sz w:val="17"/>
          <w:szCs w:val="17"/>
        </w:rPr>
        <w:t>Фонда социальной защиты населения Министерства труда</w:t>
      </w:r>
      <w:proofErr w:type="gramEnd"/>
      <w:r w:rsidRPr="00120196">
        <w:rPr>
          <w:rFonts w:ascii="Tahoma" w:eastAsia="Times New Roman" w:hAnsi="Tahoma" w:cs="Tahoma"/>
          <w:color w:val="443F3F"/>
          <w:sz w:val="17"/>
          <w:szCs w:val="17"/>
        </w:rPr>
        <w:t xml:space="preserve"> и социальной защиты.</w:t>
      </w:r>
    </w:p>
    <w:p w:rsidR="001B6A98" w:rsidRDefault="001B6A98"/>
    <w:sectPr w:rsidR="001B6A98" w:rsidSect="004B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D76"/>
    <w:multiLevelType w:val="multilevel"/>
    <w:tmpl w:val="0418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11257"/>
    <w:multiLevelType w:val="multilevel"/>
    <w:tmpl w:val="B33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54A3E"/>
    <w:multiLevelType w:val="multilevel"/>
    <w:tmpl w:val="F7BC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67134"/>
    <w:multiLevelType w:val="multilevel"/>
    <w:tmpl w:val="6B4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196"/>
    <w:rsid w:val="00120196"/>
    <w:rsid w:val="001B6A98"/>
    <w:rsid w:val="004B59DE"/>
    <w:rsid w:val="0052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Живица</cp:lastModifiedBy>
  <cp:revision>3</cp:revision>
  <cp:lastPrinted>2021-12-21T10:50:00Z</cp:lastPrinted>
  <dcterms:created xsi:type="dcterms:W3CDTF">2021-12-21T09:35:00Z</dcterms:created>
  <dcterms:modified xsi:type="dcterms:W3CDTF">2021-12-21T10:50:00Z</dcterms:modified>
</cp:coreProperties>
</file>