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14" w:rsidRDefault="00C403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0314" w:rsidRDefault="00C40314">
      <w:pPr>
        <w:pStyle w:val="ConsPlusNormal"/>
        <w:jc w:val="both"/>
        <w:outlineLvl w:val="0"/>
      </w:pPr>
    </w:p>
    <w:p w:rsidR="00C40314" w:rsidRDefault="00C40314">
      <w:pPr>
        <w:pStyle w:val="ConsPlusNormal"/>
      </w:pPr>
      <w:r>
        <w:t>Зарегистрировано в Национальном реестре правовых актов</w:t>
      </w:r>
    </w:p>
    <w:p w:rsidR="00C40314" w:rsidRDefault="00C40314">
      <w:pPr>
        <w:pStyle w:val="ConsPlusNormal"/>
        <w:spacing w:before="220"/>
      </w:pPr>
      <w:r>
        <w:t>Республики Беларусь 11 ноября 1999 г. N 2/80</w:t>
      </w:r>
    </w:p>
    <w:p w:rsidR="00C40314" w:rsidRDefault="00C40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Title"/>
        <w:jc w:val="center"/>
      </w:pPr>
      <w:r>
        <w:t>ЗАКОН РЕСПУБЛИКИ БЕЛАРУСЬ</w:t>
      </w:r>
    </w:p>
    <w:p w:rsidR="00C40314" w:rsidRDefault="00C40314">
      <w:pPr>
        <w:pStyle w:val="ConsPlusTitle"/>
        <w:jc w:val="center"/>
      </w:pPr>
      <w:r>
        <w:t>9 ноября 1999 г. N 305-З</w:t>
      </w:r>
    </w:p>
    <w:p w:rsidR="00C40314" w:rsidRDefault="00C40314">
      <w:pPr>
        <w:pStyle w:val="ConsPlusTitle"/>
        <w:jc w:val="center"/>
      </w:pPr>
    </w:p>
    <w:p w:rsidR="00C40314" w:rsidRDefault="00C40314">
      <w:pPr>
        <w:pStyle w:val="ConsPlusTitle"/>
        <w:jc w:val="center"/>
      </w:pPr>
      <w:r>
        <w:t>О ГОСУДАРСТВЕННОЙ ПОДДЕРЖКЕ МОЛОДЕЖНЫХ И ДЕТСКИХ ОБЩЕСТВЕННЫХ ОБЪЕДИНЕНИЙ В РЕСПУБЛИКЕ БЕЛАРУСЬ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Палатой представителей 5 октября 1999 года</w:t>
      </w:r>
    </w:p>
    <w:p w:rsidR="00C40314" w:rsidRDefault="00C40314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Советом Республики 28 октября 1999 года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Title"/>
        <w:jc w:val="center"/>
        <w:outlineLvl w:val="0"/>
      </w:pPr>
      <w:r>
        <w:t>ГЛАВА 1.</w:t>
      </w:r>
    </w:p>
    <w:p w:rsidR="00C40314" w:rsidRDefault="00C40314">
      <w:pPr>
        <w:pStyle w:val="ConsPlusTitle"/>
        <w:jc w:val="center"/>
      </w:pPr>
      <w:r>
        <w:t>ОБЩИЕ ПОЛОЖЕНИЯ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1. Отношения, регулируемые настоящим Законом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proofErr w:type="gramStart"/>
      <w:r>
        <w:t>Настоящий Закон определяет гарантии, общие принципы, содержание и меры 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 -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 предусматриваемых на эти цели.</w:t>
      </w:r>
      <w:proofErr w:type="gramEnd"/>
    </w:p>
    <w:p w:rsidR="00C40314" w:rsidRDefault="00C40314">
      <w:pPr>
        <w:pStyle w:val="ConsPlusNormal"/>
        <w:spacing w:before="220"/>
        <w:ind w:firstLine="540"/>
        <w:jc w:val="both"/>
      </w:pPr>
      <w:r>
        <w:t xml:space="preserve">Действие настоящего Закона не распространяется </w:t>
      </w:r>
      <w:proofErr w:type="gramStart"/>
      <w:r>
        <w:t>на</w:t>
      </w:r>
      <w:proofErr w:type="gramEnd"/>
      <w:r>
        <w:t>: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молодежные и детские религиозные организации;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молодежные и студенческие объединения, являющиеся профессиональными союзами.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Республики Беларусь о государственной поддержке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Законодательство Республики Беларусь о государственной поддержке молодежных и детских объединений состоит из настоящего Закона и иных актов законодательства Республики Беларусь.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3. Понятие государственной поддержки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proofErr w:type="gramStart"/>
      <w:r>
        <w:t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охраны и защиты их прав.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4. Принципы государственной поддержки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 xml:space="preserve">Государственная поддержка молодежных и детских объединений осуществляется исходя из </w:t>
      </w:r>
      <w:r>
        <w:lastRenderedPageBreak/>
        <w:t>основных направлений государственной молодежной политики в соответствии с принципами: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приоритета общих гуманистических и патриотических ценностей в деятельности молодежных и детских объединений;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Закона;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гласности в оказании государственной поддержки.</w:t>
      </w:r>
    </w:p>
    <w:p w:rsidR="00C40314" w:rsidRDefault="00C40314">
      <w:pPr>
        <w:pStyle w:val="ConsPlusNormal"/>
        <w:spacing w:before="220"/>
        <w:ind w:firstLine="540"/>
        <w:jc w:val="both"/>
      </w:pPr>
      <w:proofErr w:type="gramStart"/>
      <w:r>
        <w:t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изменения характера их деятельности.</w:t>
      </w:r>
      <w:proofErr w:type="gramEnd"/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bookmarkStart w:id="0" w:name="P40"/>
      <w:bookmarkEnd w:id="0"/>
      <w:r>
        <w:rPr>
          <w:b/>
        </w:rPr>
        <w:t>Статья 5. Молодежные и детские объединения, являющиеся субъектами государственной поддержки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 xml:space="preserve"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</w:t>
      </w:r>
      <w:proofErr w:type="gramStart"/>
      <w:r>
        <w:t>интересы</w:t>
      </w:r>
      <w:proofErr w:type="gramEnd"/>
      <w:r>
        <w:t xml:space="preserve"> и уставная деятельность которых направлена на обеспечение социального становления и развития детей и молодежи;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ассоциациям (союзам) молодежных и (или) детских объединений.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 xml:space="preserve">Объединение молодежного или детского объединения в ассоциацию (союз) с другими </w:t>
      </w:r>
      <w:r>
        <w:lastRenderedPageBreak/>
        <w:t>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6. Право молодежных и детских объединений на участие в определении мер их государственной поддержки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Молодежные и детские объединения имеют право в установленном порядке: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Title"/>
        <w:jc w:val="center"/>
        <w:outlineLvl w:val="0"/>
      </w:pPr>
      <w:r>
        <w:t>ГЛАВА 2.</w:t>
      </w:r>
    </w:p>
    <w:p w:rsidR="00C40314" w:rsidRDefault="00C40314">
      <w:pPr>
        <w:pStyle w:val="ConsPlusTitle"/>
        <w:jc w:val="center"/>
      </w:pPr>
      <w:r>
        <w:t>ОСНОВНЫЕ НАПРАВЛЕНИЯ И ФОРМЫ ГОСУДАРСТВЕННОЙ ПОДДЕРЖКИ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7. Информационное обеспечение и подготовка кадров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ассигнований, выделяемых на эти цели.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8. Предоставление льгот молодежным и детским объединениям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proofErr w:type="gramStart"/>
      <w:r>
        <w:t xml:space="preserve">Молодежные и детские объединения, отвечающие требованиям </w:t>
      </w:r>
      <w:hyperlink w:anchor="P40" w:history="1">
        <w:r>
          <w:rPr>
            <w:color w:val="0000FF"/>
          </w:rPr>
          <w:t>статьи</w:t>
        </w:r>
      </w:hyperlink>
      <w:r>
        <w:t xml:space="preserve"> </w:t>
      </w:r>
      <w:hyperlink w:anchor="P40" w:history="1">
        <w:r>
          <w:rPr>
            <w:color w:val="0000FF"/>
          </w:rPr>
          <w:t>5</w:t>
        </w:r>
      </w:hyperlink>
      <w:r>
        <w:t xml:space="preserve"> настоящего Закона и включенные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</w:t>
      </w:r>
      <w:r>
        <w:lastRenderedPageBreak/>
        <w:t>пользование имущество, находящееся в государственной собственности, для осуществления своих уставных целей.</w:t>
      </w:r>
      <w:proofErr w:type="gramEnd"/>
    </w:p>
    <w:p w:rsidR="00C40314" w:rsidRDefault="00C40314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распорядительными органами в пределах бюджетных ассигнований, выделяемых на государственную поддержку молодежных и детских объединений.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9. Выполнение государственного заказа молодежными и детскими объединениями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 ответа о принятии предложений.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10. Республиканские и местные программы государственной поддержки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молодежной политики.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bookmarkStart w:id="1" w:name="P86"/>
      <w:bookmarkEnd w:id="1"/>
      <w:r>
        <w:rPr>
          <w:b/>
        </w:rPr>
        <w:t>Статья 11. Государственная поддержка проектов (программ)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C40314" w:rsidRDefault="00C40314">
      <w:pPr>
        <w:pStyle w:val="ConsPlusNormal"/>
        <w:spacing w:before="220"/>
        <w:ind w:firstLine="540"/>
        <w:jc w:val="both"/>
      </w:pPr>
      <w:proofErr w:type="gramStart"/>
      <w:r>
        <w:t xml:space="preserve">Республиканский орган государственного управления по делам молодежи, местные </w:t>
      </w:r>
      <w:r>
        <w:lastRenderedPageBreak/>
        <w:t>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(программе), либо очередность предоставления необходимых средств.</w:t>
      </w:r>
      <w:proofErr w:type="gramEnd"/>
    </w:p>
    <w:p w:rsidR="00C40314" w:rsidRDefault="00C40314">
      <w:pPr>
        <w:pStyle w:val="ConsPlusNormal"/>
        <w:spacing w:before="220"/>
        <w:ind w:firstLine="540"/>
        <w:jc w:val="both"/>
      </w:pPr>
      <w:r>
        <w:t xml:space="preserve">Финансирование (субсидирование) проектов (программ) молодежных и детских объединений производится за счет средств </w:t>
      </w:r>
      <w:proofErr w:type="gramStart"/>
      <w:r>
        <w:t>республиканского</w:t>
      </w:r>
      <w:proofErr w:type="gramEnd"/>
      <w:r>
        <w:t xml:space="preserve">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 xml:space="preserve">Расходы на финансирование (субсидирование) проектов (программ) молодежных и детских объединений из средств </w:t>
      </w:r>
      <w:proofErr w:type="gramStart"/>
      <w:r>
        <w:t>республиканского</w:t>
      </w:r>
      <w:proofErr w:type="gramEnd"/>
      <w:r>
        <w:t xml:space="preserve">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бюджетов в установленном порядке.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bookmarkStart w:id="2" w:name="P96"/>
      <w:bookmarkEnd w:id="2"/>
      <w:r>
        <w:rPr>
          <w:b/>
        </w:rPr>
        <w:t>Статья 12. Выделение субсидий молодежным и детским объединениям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 xml:space="preserve">Выделение субсидий молодежным и детским объединениям, отвечающим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 и включенным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</w:t>
      </w:r>
      <w:proofErr w:type="gramStart"/>
      <w:r>
        <w:t>республиканский</w:t>
      </w:r>
      <w:proofErr w:type="gramEnd"/>
      <w:r>
        <w:t xml:space="preserve">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 xml:space="preserve"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</w:t>
      </w:r>
      <w:proofErr w:type="gramStart"/>
      <w:r>
        <w:t>контроль за</w:t>
      </w:r>
      <w:proofErr w:type="gramEnd"/>
      <w:r>
        <w:t xml:space="preserve"> целевым использованием выделяемых средств.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 xml:space="preserve">Субсидии выделяются молодежным и детским объединениям </w:t>
      </w:r>
      <w:proofErr w:type="gramStart"/>
      <w:r>
        <w:t>на</w:t>
      </w:r>
      <w:proofErr w:type="gramEnd"/>
      <w:r>
        <w:t>: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lastRenderedPageBreak/>
        <w:t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проведение мероприятий по организации досуга детей и молодежи;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подготовку и переподготовку кадров молодежных и детских объединений;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развитие международных связей молодежных и детских объединений;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другие цели в соответствии с направлениями государственной молодежной политики.</w:t>
      </w:r>
    </w:p>
    <w:p w:rsidR="00C40314" w:rsidRDefault="00C40314">
      <w:pPr>
        <w:pStyle w:val="ConsPlusNormal"/>
        <w:spacing w:before="220"/>
        <w:ind w:firstLine="540"/>
        <w:jc w:val="both"/>
      </w:pPr>
      <w:proofErr w:type="gramStart"/>
      <w:r>
        <w:t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государственной молодежной политики.</w:t>
      </w:r>
      <w:proofErr w:type="gramEnd"/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Title"/>
        <w:jc w:val="center"/>
        <w:outlineLvl w:val="0"/>
      </w:pPr>
      <w:r>
        <w:t>ГЛАВА 3.</w:t>
      </w:r>
    </w:p>
    <w:p w:rsidR="00C40314" w:rsidRDefault="00C40314">
      <w:pPr>
        <w:pStyle w:val="ConsPlusTitle"/>
        <w:jc w:val="center"/>
      </w:pPr>
      <w:r>
        <w:t>ОРГАНИЗАЦИОННЫЕ ОСНОВЫ ГОСУДАРСТВЕННОЙ ПОДДЕРЖКИ МОЛОДЕЖНЫХ И ДЕТСКИХ ОБЪЕДИНЕНИЙ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bookmarkStart w:id="3" w:name="P114"/>
      <w:bookmarkEnd w:id="3"/>
      <w:r>
        <w:rPr>
          <w:b/>
        </w:rPr>
        <w:t xml:space="preserve">Статья 13. </w:t>
      </w:r>
      <w:proofErr w:type="gramStart"/>
      <w:r>
        <w:rPr>
          <w:b/>
        </w:rPr>
        <w:t>Республиканский</w:t>
      </w:r>
      <w:proofErr w:type="gramEnd"/>
      <w:r>
        <w:rPr>
          <w:b/>
        </w:rPr>
        <w:t xml:space="preserve"> и местные реестры молодежных и детских объединений, пользующихся государственной поддержкой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bookmarkStart w:id="4" w:name="P116"/>
      <w:bookmarkEnd w:id="4"/>
      <w:r>
        <w:t xml:space="preserve">Республиканский орган государственного управления по делам молодежи, местные исполнительные и распорядительные органы формируют в определяемом ими </w:t>
      </w:r>
      <w:hyperlink r:id="rId5" w:history="1">
        <w:r>
          <w:rPr>
            <w:color w:val="0000FF"/>
          </w:rPr>
          <w:t>порядке</w:t>
        </w:r>
      </w:hyperlink>
      <w:r>
        <w:t xml:space="preserve"> соответственно республиканский и местные реестры молодежных и детских объединений, пользующихся государственной поддержкой.</w:t>
      </w:r>
    </w:p>
    <w:p w:rsidR="00C40314" w:rsidRDefault="00C40314">
      <w:pPr>
        <w:pStyle w:val="ConsPlusNormal"/>
        <w:spacing w:before="220"/>
        <w:ind w:firstLine="540"/>
        <w:jc w:val="both"/>
      </w:pPr>
      <w:proofErr w:type="gramStart"/>
      <w:r>
        <w:t xml:space="preserve">Включение молодежных и детских объединений в указанные в </w:t>
      </w:r>
      <w:hyperlink w:anchor="P116" w:history="1">
        <w:r>
          <w:rPr>
            <w:color w:val="0000FF"/>
          </w:rPr>
          <w:t>части</w:t>
        </w:r>
      </w:hyperlink>
      <w:r>
        <w:t xml:space="preserve"> </w:t>
      </w:r>
      <w:hyperlink w:anchor="P116" w:history="1">
        <w:r>
          <w:rPr>
            <w:color w:val="0000FF"/>
          </w:rPr>
          <w:t>первой</w:t>
        </w:r>
      </w:hyperlink>
      <w:r>
        <w:t xml:space="preserve"> настоящей статьи реестры осуществляется бесплатно в течение месяца со дня представления ими письменного </w:t>
      </w:r>
      <w:hyperlink r:id="rId6" w:history="1">
        <w:r>
          <w:rPr>
            <w:color w:val="0000FF"/>
          </w:rPr>
          <w:t>заявления</w:t>
        </w:r>
      </w:hyperlink>
      <w:r>
        <w:t xml:space="preserve"> и документов, подтверждающих соответствие объединений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Закона.</w:t>
      </w:r>
      <w:proofErr w:type="gramEnd"/>
    </w:p>
    <w:p w:rsidR="00C40314" w:rsidRDefault="00C40314">
      <w:pPr>
        <w:pStyle w:val="ConsPlusNormal"/>
        <w:spacing w:before="220"/>
        <w:ind w:firstLine="540"/>
        <w:jc w:val="both"/>
      </w:pPr>
      <w:r>
        <w:t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 w:rsidR="00C40314" w:rsidRDefault="00C40314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</w:t>
      </w:r>
      <w:hyperlink w:anchor="P86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</w:t>
      </w:r>
      <w:proofErr w:type="gramEnd"/>
      <w:r>
        <w:t xml:space="preserve"> республиканского или местного реестра молодежных и детских объединений, пользующихся государственной поддержкой.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14. Ответственность за нарушение настоящего Закона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Республики Беларусь.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Title"/>
        <w:jc w:val="center"/>
        <w:outlineLvl w:val="0"/>
      </w:pPr>
      <w:r>
        <w:t>ГЛАВА 4.</w:t>
      </w:r>
    </w:p>
    <w:p w:rsidR="00C40314" w:rsidRDefault="00C40314">
      <w:pPr>
        <w:pStyle w:val="ConsPlusTitle"/>
        <w:jc w:val="center"/>
      </w:pPr>
      <w:r>
        <w:t>ЗАКЛЮЧИТЕЛЬНЫЕ ПОЛОЖЕНИЯ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15. Вступление в силу настоящего Закона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Настоящий Закон вступает в силу со дня его опубликования.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  <w:outlineLvl w:val="1"/>
      </w:pPr>
      <w:r>
        <w:rPr>
          <w:b/>
        </w:rPr>
        <w:t>Статья 16. Приведение законодательства Республики Беларусь в соответствие с настоящим Законом</w:t>
      </w: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ind w:firstLine="540"/>
        <w:jc w:val="both"/>
      </w:pPr>
      <w:r>
        <w:t>Совету Министров Республики Беларусь в течение трех месяцев со дня вступления в силу настоящего Закона: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обеспечить приведение законодательства Республики Беларусь в соответствие с настоящим Законом;</w:t>
      </w:r>
    </w:p>
    <w:p w:rsidR="00C40314" w:rsidRDefault="00C40314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настоящего Закона.</w:t>
      </w:r>
    </w:p>
    <w:p w:rsidR="00C40314" w:rsidRDefault="00C4031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403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0314" w:rsidRDefault="00C40314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0314" w:rsidRDefault="00C40314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jc w:val="both"/>
      </w:pPr>
    </w:p>
    <w:p w:rsidR="00C40314" w:rsidRDefault="00C40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4A" w:rsidRDefault="00FF274A"/>
    <w:sectPr w:rsidR="00FF274A" w:rsidSect="0060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0314"/>
    <w:rsid w:val="007540A7"/>
    <w:rsid w:val="00956E3B"/>
    <w:rsid w:val="00C40314"/>
    <w:rsid w:val="00C82364"/>
    <w:rsid w:val="00ED1E62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0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0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F2E3EF8C35A5AD61FE566A6746AAE85FA52EDA3C62612DDC6AF9876294EC396E98EEC1CA17731630DFC090570EF8CCE54BFED8E14D95D535230D06CR0N9H" TargetMode="External"/><Relationship Id="rId5" Type="http://schemas.openxmlformats.org/officeDocument/2006/relationships/hyperlink" Target="consultantplus://offline/ref=83BF2E3EF8C35A5AD61FE566A6746AAE85FA52EDA3C62612DDC6AF9876294EC396E98EEC1CA17731630DFC090879EF8CCE54BFED8E14D95D535230D06CR0N9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2658</Words>
  <Characters>15152</Characters>
  <Application>Microsoft Office Word</Application>
  <DocSecurity>0</DocSecurity>
  <Lines>126</Lines>
  <Paragraphs>35</Paragraphs>
  <ScaleCrop>false</ScaleCrop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Александр В. Хомичук</cp:lastModifiedBy>
  <cp:revision>1</cp:revision>
  <dcterms:created xsi:type="dcterms:W3CDTF">2021-01-22T07:13:00Z</dcterms:created>
  <dcterms:modified xsi:type="dcterms:W3CDTF">2021-01-22T07:13:00Z</dcterms:modified>
</cp:coreProperties>
</file>